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FEFB6" w14:textId="77777777" w:rsidR="00031463" w:rsidRDefault="003B28AF">
      <w:pPr>
        <w:spacing w:after="196" w:line="259" w:lineRule="auto"/>
        <w:ind w:left="0" w:right="1357" w:firstLine="0"/>
        <w:jc w:val="right"/>
      </w:pPr>
      <w:r>
        <w:rPr>
          <w:b/>
          <w:i/>
          <w:sz w:val="30"/>
          <w:u w:val="single" w:color="000000"/>
        </w:rPr>
        <w:t xml:space="preserve">Základná škola, </w:t>
      </w:r>
      <w:r w:rsidR="00063F21">
        <w:rPr>
          <w:b/>
          <w:i/>
          <w:sz w:val="30"/>
          <w:u w:val="single" w:color="000000"/>
        </w:rPr>
        <w:t>Harhaj 47, Marhaň 086 45</w:t>
      </w:r>
    </w:p>
    <w:p w14:paraId="01AC06BE" w14:textId="77777777" w:rsidR="00031463" w:rsidRDefault="00031463">
      <w:pPr>
        <w:spacing w:after="174" w:line="259" w:lineRule="auto"/>
        <w:ind w:left="487" w:right="0" w:firstLine="0"/>
        <w:jc w:val="center"/>
      </w:pPr>
    </w:p>
    <w:p w14:paraId="3F8B5089" w14:textId="77777777" w:rsidR="00031463" w:rsidRDefault="00031463">
      <w:pPr>
        <w:pBdr>
          <w:top w:val="single" w:sz="4" w:space="0" w:color="000000"/>
          <w:left w:val="single" w:sz="4" w:space="0" w:color="000000"/>
          <w:bottom w:val="single" w:sz="4" w:space="0" w:color="000000"/>
          <w:right w:val="single" w:sz="4" w:space="0" w:color="000000"/>
        </w:pBdr>
        <w:spacing w:after="0" w:line="259" w:lineRule="auto"/>
        <w:ind w:left="76" w:right="0" w:firstLine="0"/>
        <w:jc w:val="center"/>
      </w:pPr>
    </w:p>
    <w:p w14:paraId="5E9D635F" w14:textId="77777777" w:rsidR="00031463" w:rsidRDefault="00974BDB" w:rsidP="003B28AF">
      <w:pPr>
        <w:pStyle w:val="Nadpis1"/>
        <w:ind w:left="76" w:right="0"/>
        <w:jc w:val="center"/>
      </w:pPr>
      <w:proofErr w:type="spellStart"/>
      <w:r>
        <w:t>Desegregačný</w:t>
      </w:r>
      <w:proofErr w:type="spellEnd"/>
      <w:r>
        <w:t xml:space="preserve"> a inkluzívny plán školy</w:t>
      </w:r>
    </w:p>
    <w:p w14:paraId="56FA2EEB" w14:textId="77777777" w:rsidR="00031463" w:rsidRDefault="00031463">
      <w:pPr>
        <w:pBdr>
          <w:top w:val="single" w:sz="4" w:space="0" w:color="000000"/>
          <w:left w:val="single" w:sz="4" w:space="0" w:color="000000"/>
          <w:bottom w:val="single" w:sz="4" w:space="0" w:color="000000"/>
          <w:right w:val="single" w:sz="4" w:space="0" w:color="000000"/>
        </w:pBdr>
        <w:spacing w:after="0" w:line="259" w:lineRule="auto"/>
        <w:ind w:left="76" w:right="0" w:firstLine="0"/>
        <w:jc w:val="center"/>
      </w:pPr>
    </w:p>
    <w:p w14:paraId="56E6CD6E" w14:textId="77777777" w:rsidR="00031463" w:rsidRDefault="00031463">
      <w:pPr>
        <w:spacing w:after="0" w:line="259" w:lineRule="auto"/>
        <w:ind w:left="50" w:right="0" w:firstLine="0"/>
        <w:jc w:val="center"/>
      </w:pPr>
    </w:p>
    <w:tbl>
      <w:tblPr>
        <w:tblStyle w:val="TableGrid"/>
        <w:tblW w:w="9357" w:type="dxa"/>
        <w:tblInd w:w="-142" w:type="dxa"/>
        <w:tblCellMar>
          <w:top w:w="32" w:type="dxa"/>
          <w:left w:w="108" w:type="dxa"/>
          <w:right w:w="115" w:type="dxa"/>
        </w:tblCellMar>
        <w:tblLook w:val="04A0" w:firstRow="1" w:lastRow="0" w:firstColumn="1" w:lastColumn="0" w:noHBand="0" w:noVBand="1"/>
      </w:tblPr>
      <w:tblGrid>
        <w:gridCol w:w="4191"/>
        <w:gridCol w:w="5166"/>
      </w:tblGrid>
      <w:tr w:rsidR="00031463" w14:paraId="1F91507D" w14:textId="77777777">
        <w:trPr>
          <w:trHeight w:val="245"/>
        </w:trPr>
        <w:tc>
          <w:tcPr>
            <w:tcW w:w="4191" w:type="dxa"/>
            <w:tcBorders>
              <w:top w:val="single" w:sz="4" w:space="0" w:color="000000"/>
              <w:left w:val="single" w:sz="4" w:space="0" w:color="000000"/>
              <w:bottom w:val="single" w:sz="4" w:space="0" w:color="000000"/>
              <w:right w:val="single" w:sz="4" w:space="0" w:color="000000"/>
            </w:tcBorders>
          </w:tcPr>
          <w:p w14:paraId="6F63C98D" w14:textId="77777777" w:rsidR="00031463" w:rsidRDefault="00974BDB">
            <w:pPr>
              <w:spacing w:line="259" w:lineRule="auto"/>
              <w:ind w:left="0" w:right="0" w:firstLine="0"/>
              <w:jc w:val="left"/>
            </w:pPr>
            <w:r>
              <w:rPr>
                <w:i/>
                <w:sz w:val="18"/>
              </w:rPr>
              <w:t>Organizácia</w:t>
            </w:r>
          </w:p>
        </w:tc>
        <w:tc>
          <w:tcPr>
            <w:tcW w:w="5166" w:type="dxa"/>
            <w:tcBorders>
              <w:top w:val="single" w:sz="4" w:space="0" w:color="000000"/>
              <w:left w:val="single" w:sz="4" w:space="0" w:color="000000"/>
              <w:bottom w:val="single" w:sz="4" w:space="0" w:color="000000"/>
              <w:right w:val="single" w:sz="4" w:space="0" w:color="000000"/>
            </w:tcBorders>
          </w:tcPr>
          <w:p w14:paraId="62382932" w14:textId="77777777" w:rsidR="00031463" w:rsidRDefault="003B28AF">
            <w:pPr>
              <w:spacing w:line="259" w:lineRule="auto"/>
              <w:ind w:left="0" w:right="0" w:firstLine="0"/>
              <w:jc w:val="left"/>
            </w:pPr>
            <w:r>
              <w:rPr>
                <w:b/>
                <w:sz w:val="20"/>
              </w:rPr>
              <w:t>Základná škola</w:t>
            </w:r>
            <w:r w:rsidR="00420108">
              <w:rPr>
                <w:b/>
                <w:sz w:val="20"/>
              </w:rPr>
              <w:t xml:space="preserve"> Harhaj 47,086 45 Marhaň</w:t>
            </w:r>
          </w:p>
        </w:tc>
      </w:tr>
      <w:tr w:rsidR="00031463" w14:paraId="1900A957" w14:textId="77777777">
        <w:trPr>
          <w:trHeight w:val="245"/>
        </w:trPr>
        <w:tc>
          <w:tcPr>
            <w:tcW w:w="4191" w:type="dxa"/>
            <w:tcBorders>
              <w:top w:val="single" w:sz="4" w:space="0" w:color="000000"/>
              <w:left w:val="single" w:sz="4" w:space="0" w:color="000000"/>
              <w:bottom w:val="single" w:sz="4" w:space="0" w:color="000000"/>
              <w:right w:val="single" w:sz="4" w:space="0" w:color="000000"/>
            </w:tcBorders>
          </w:tcPr>
          <w:p w14:paraId="24C97F6A" w14:textId="77777777" w:rsidR="00031463" w:rsidRDefault="00974BDB">
            <w:pPr>
              <w:spacing w:line="259" w:lineRule="auto"/>
              <w:ind w:left="0" w:right="0" w:firstLine="0"/>
              <w:jc w:val="left"/>
            </w:pPr>
            <w:r>
              <w:rPr>
                <w:i/>
                <w:sz w:val="18"/>
              </w:rPr>
              <w:t xml:space="preserve">Obec a PSČ   </w:t>
            </w:r>
          </w:p>
        </w:tc>
        <w:tc>
          <w:tcPr>
            <w:tcW w:w="5166" w:type="dxa"/>
            <w:tcBorders>
              <w:top w:val="single" w:sz="4" w:space="0" w:color="000000"/>
              <w:left w:val="single" w:sz="4" w:space="0" w:color="000000"/>
              <w:bottom w:val="single" w:sz="4" w:space="0" w:color="000000"/>
              <w:right w:val="single" w:sz="4" w:space="0" w:color="000000"/>
            </w:tcBorders>
          </w:tcPr>
          <w:p w14:paraId="6129BB3B" w14:textId="77777777" w:rsidR="00031463" w:rsidRDefault="00063F21">
            <w:pPr>
              <w:spacing w:line="259" w:lineRule="auto"/>
              <w:ind w:left="0" w:right="0" w:firstLine="0"/>
              <w:jc w:val="left"/>
            </w:pPr>
            <w:r>
              <w:rPr>
                <w:b/>
                <w:sz w:val="20"/>
              </w:rPr>
              <w:t>Harhaj 35 </w:t>
            </w:r>
            <w:r w:rsidR="00420108">
              <w:rPr>
                <w:b/>
                <w:sz w:val="20"/>
              </w:rPr>
              <w:t xml:space="preserve">, </w:t>
            </w:r>
            <w:r>
              <w:rPr>
                <w:b/>
                <w:sz w:val="20"/>
              </w:rPr>
              <w:t>086 45</w:t>
            </w:r>
            <w:r w:rsidR="00420108">
              <w:rPr>
                <w:b/>
                <w:sz w:val="20"/>
              </w:rPr>
              <w:t xml:space="preserve"> Marhaň</w:t>
            </w:r>
          </w:p>
        </w:tc>
      </w:tr>
    </w:tbl>
    <w:p w14:paraId="496D3F74" w14:textId="77777777" w:rsidR="00031463" w:rsidRDefault="00031463">
      <w:pPr>
        <w:spacing w:after="0" w:line="259" w:lineRule="auto"/>
        <w:ind w:left="50" w:right="0" w:firstLine="0"/>
        <w:jc w:val="center"/>
      </w:pPr>
    </w:p>
    <w:p w14:paraId="7F281E9A" w14:textId="77777777" w:rsidR="00031463" w:rsidRDefault="00031463">
      <w:pPr>
        <w:spacing w:after="0" w:line="259" w:lineRule="auto"/>
        <w:ind w:left="50" w:right="0" w:firstLine="0"/>
        <w:jc w:val="center"/>
      </w:pPr>
    </w:p>
    <w:p w14:paraId="412AF581" w14:textId="77777777" w:rsidR="00031463" w:rsidRDefault="00031463">
      <w:pPr>
        <w:spacing w:after="43" w:line="259" w:lineRule="auto"/>
        <w:ind w:left="2155" w:right="0" w:firstLine="0"/>
        <w:jc w:val="left"/>
      </w:pPr>
    </w:p>
    <w:p w14:paraId="28191D92" w14:textId="77777777" w:rsidR="00031463" w:rsidRDefault="00031463">
      <w:pPr>
        <w:spacing w:after="0" w:line="259" w:lineRule="auto"/>
        <w:ind w:left="50" w:right="0" w:firstLine="0"/>
        <w:jc w:val="center"/>
      </w:pPr>
    </w:p>
    <w:p w14:paraId="66903D5B" w14:textId="77777777" w:rsidR="00031463" w:rsidRDefault="00031463">
      <w:pPr>
        <w:spacing w:after="0" w:line="259" w:lineRule="auto"/>
        <w:ind w:left="0" w:right="0" w:firstLine="0"/>
        <w:jc w:val="left"/>
      </w:pPr>
    </w:p>
    <w:tbl>
      <w:tblPr>
        <w:tblStyle w:val="TableGrid"/>
        <w:tblW w:w="9657" w:type="dxa"/>
        <w:tblInd w:w="54" w:type="dxa"/>
        <w:tblCellMar>
          <w:top w:w="81" w:type="dxa"/>
          <w:left w:w="56" w:type="dxa"/>
          <w:right w:w="115" w:type="dxa"/>
        </w:tblCellMar>
        <w:tblLook w:val="04A0" w:firstRow="1" w:lastRow="0" w:firstColumn="1" w:lastColumn="0" w:noHBand="0" w:noVBand="1"/>
      </w:tblPr>
      <w:tblGrid>
        <w:gridCol w:w="4537"/>
        <w:gridCol w:w="5120"/>
      </w:tblGrid>
      <w:tr w:rsidR="00031463" w14:paraId="6B8A155A" w14:textId="77777777">
        <w:trPr>
          <w:trHeight w:val="346"/>
        </w:trPr>
        <w:tc>
          <w:tcPr>
            <w:tcW w:w="4537" w:type="dxa"/>
            <w:tcBorders>
              <w:top w:val="single" w:sz="2" w:space="0" w:color="000000"/>
              <w:left w:val="single" w:sz="2" w:space="0" w:color="000000"/>
              <w:bottom w:val="single" w:sz="2" w:space="0" w:color="000000"/>
              <w:right w:val="single" w:sz="2" w:space="0" w:color="000000"/>
            </w:tcBorders>
          </w:tcPr>
          <w:p w14:paraId="468ECBA9" w14:textId="77777777" w:rsidR="00031463" w:rsidRDefault="00974BDB">
            <w:pPr>
              <w:spacing w:line="259" w:lineRule="auto"/>
              <w:ind w:left="2" w:right="0" w:firstLine="0"/>
              <w:jc w:val="left"/>
            </w:pPr>
            <w:r>
              <w:rPr>
                <w:b/>
                <w:sz w:val="20"/>
              </w:rPr>
              <w:t>Názov vnútorného predpisu:</w:t>
            </w:r>
          </w:p>
        </w:tc>
        <w:tc>
          <w:tcPr>
            <w:tcW w:w="5120" w:type="dxa"/>
            <w:tcBorders>
              <w:top w:val="single" w:sz="2" w:space="0" w:color="000000"/>
              <w:left w:val="single" w:sz="2" w:space="0" w:color="000000"/>
              <w:bottom w:val="single" w:sz="2" w:space="0" w:color="000000"/>
              <w:right w:val="single" w:sz="2" w:space="0" w:color="000000"/>
            </w:tcBorders>
          </w:tcPr>
          <w:p w14:paraId="6F27F90B" w14:textId="77777777" w:rsidR="00031463" w:rsidRDefault="00974BDB">
            <w:pPr>
              <w:spacing w:line="259" w:lineRule="auto"/>
              <w:ind w:left="0" w:right="0" w:firstLine="0"/>
              <w:jc w:val="left"/>
            </w:pPr>
            <w:proofErr w:type="spellStart"/>
            <w:r>
              <w:rPr>
                <w:sz w:val="20"/>
              </w:rPr>
              <w:t>Desegregačný</w:t>
            </w:r>
            <w:proofErr w:type="spellEnd"/>
            <w:r>
              <w:rPr>
                <w:sz w:val="20"/>
              </w:rPr>
              <w:t xml:space="preserve">  a </w:t>
            </w:r>
            <w:proofErr w:type="spellStart"/>
            <w:r>
              <w:rPr>
                <w:sz w:val="20"/>
              </w:rPr>
              <w:t>inkluzívný</w:t>
            </w:r>
            <w:proofErr w:type="spellEnd"/>
            <w:r>
              <w:rPr>
                <w:sz w:val="20"/>
              </w:rPr>
              <w:t xml:space="preserve"> pl</w:t>
            </w:r>
            <w:r w:rsidR="007918A3">
              <w:rPr>
                <w:sz w:val="20"/>
              </w:rPr>
              <w:t>á</w:t>
            </w:r>
            <w:r>
              <w:rPr>
                <w:sz w:val="20"/>
              </w:rPr>
              <w:t xml:space="preserve">n </w:t>
            </w:r>
            <w:r w:rsidR="007918A3">
              <w:rPr>
                <w:sz w:val="20"/>
              </w:rPr>
              <w:t>š</w:t>
            </w:r>
            <w:r>
              <w:rPr>
                <w:sz w:val="20"/>
              </w:rPr>
              <w:t>kol</w:t>
            </w:r>
            <w:r w:rsidR="007918A3">
              <w:rPr>
                <w:sz w:val="20"/>
              </w:rPr>
              <w:t>y</w:t>
            </w:r>
          </w:p>
        </w:tc>
      </w:tr>
      <w:tr w:rsidR="00031463" w14:paraId="1131758C" w14:textId="77777777">
        <w:trPr>
          <w:trHeight w:val="346"/>
        </w:trPr>
        <w:tc>
          <w:tcPr>
            <w:tcW w:w="4537" w:type="dxa"/>
            <w:tcBorders>
              <w:top w:val="single" w:sz="2" w:space="0" w:color="000000"/>
              <w:left w:val="single" w:sz="2" w:space="0" w:color="000000"/>
              <w:bottom w:val="single" w:sz="2" w:space="0" w:color="000000"/>
              <w:right w:val="single" w:sz="2" w:space="0" w:color="000000"/>
            </w:tcBorders>
          </w:tcPr>
          <w:p w14:paraId="2B620F5D" w14:textId="77777777" w:rsidR="00031463" w:rsidRDefault="00974BDB">
            <w:pPr>
              <w:spacing w:line="259" w:lineRule="auto"/>
              <w:ind w:left="2" w:right="0" w:firstLine="0"/>
              <w:jc w:val="left"/>
            </w:pPr>
            <w:r>
              <w:rPr>
                <w:b/>
                <w:sz w:val="20"/>
              </w:rPr>
              <w:t>Oblasť platnosti:</w:t>
            </w:r>
          </w:p>
        </w:tc>
        <w:tc>
          <w:tcPr>
            <w:tcW w:w="5120" w:type="dxa"/>
            <w:tcBorders>
              <w:top w:val="single" w:sz="2" w:space="0" w:color="000000"/>
              <w:left w:val="single" w:sz="2" w:space="0" w:color="000000"/>
              <w:bottom w:val="single" w:sz="2" w:space="0" w:color="000000"/>
              <w:right w:val="single" w:sz="2" w:space="0" w:color="000000"/>
            </w:tcBorders>
          </w:tcPr>
          <w:p w14:paraId="6BF42B63" w14:textId="77777777" w:rsidR="00031463" w:rsidRDefault="007918A3">
            <w:pPr>
              <w:spacing w:line="259" w:lineRule="auto"/>
              <w:ind w:left="0" w:right="0" w:firstLine="0"/>
              <w:jc w:val="left"/>
            </w:pPr>
            <w:r>
              <w:rPr>
                <w:sz w:val="20"/>
              </w:rPr>
              <w:t>Základná škola</w:t>
            </w:r>
          </w:p>
        </w:tc>
      </w:tr>
      <w:tr w:rsidR="00031463" w14:paraId="769CAE73" w14:textId="77777777">
        <w:trPr>
          <w:trHeight w:val="344"/>
        </w:trPr>
        <w:tc>
          <w:tcPr>
            <w:tcW w:w="4537" w:type="dxa"/>
            <w:tcBorders>
              <w:top w:val="single" w:sz="2" w:space="0" w:color="000000"/>
              <w:left w:val="single" w:sz="2" w:space="0" w:color="000000"/>
              <w:bottom w:val="single" w:sz="2" w:space="0" w:color="000000"/>
              <w:right w:val="single" w:sz="2" w:space="0" w:color="000000"/>
            </w:tcBorders>
          </w:tcPr>
          <w:p w14:paraId="317723A6" w14:textId="77777777" w:rsidR="00031463" w:rsidRDefault="00974BDB">
            <w:pPr>
              <w:spacing w:line="259" w:lineRule="auto"/>
              <w:ind w:left="2" w:right="0" w:firstLine="0"/>
              <w:jc w:val="left"/>
            </w:pPr>
            <w:r>
              <w:rPr>
                <w:b/>
                <w:sz w:val="20"/>
              </w:rPr>
              <w:t>Dátum vyhotovenia:</w:t>
            </w:r>
          </w:p>
        </w:tc>
        <w:tc>
          <w:tcPr>
            <w:tcW w:w="5120" w:type="dxa"/>
            <w:tcBorders>
              <w:top w:val="single" w:sz="2" w:space="0" w:color="000000"/>
              <w:left w:val="single" w:sz="2" w:space="0" w:color="000000"/>
              <w:bottom w:val="single" w:sz="2" w:space="0" w:color="000000"/>
              <w:right w:val="single" w:sz="2" w:space="0" w:color="000000"/>
            </w:tcBorders>
          </w:tcPr>
          <w:p w14:paraId="429F5C17" w14:textId="77777777" w:rsidR="00031463" w:rsidRDefault="00974BDB">
            <w:pPr>
              <w:spacing w:line="259" w:lineRule="auto"/>
              <w:ind w:left="0" w:right="0" w:firstLine="0"/>
              <w:jc w:val="left"/>
            </w:pPr>
            <w:r>
              <w:rPr>
                <w:sz w:val="20"/>
              </w:rPr>
              <w:t xml:space="preserve">2. </w:t>
            </w:r>
            <w:r w:rsidR="007918A3">
              <w:rPr>
                <w:sz w:val="20"/>
              </w:rPr>
              <w:t>júl</w:t>
            </w:r>
            <w:r>
              <w:rPr>
                <w:sz w:val="20"/>
              </w:rPr>
              <w:t xml:space="preserve"> 202</w:t>
            </w:r>
            <w:r w:rsidR="007918A3">
              <w:rPr>
                <w:sz w:val="20"/>
              </w:rPr>
              <w:t>5</w:t>
            </w:r>
          </w:p>
        </w:tc>
      </w:tr>
      <w:tr w:rsidR="00031463" w14:paraId="13992A4C" w14:textId="77777777">
        <w:trPr>
          <w:trHeight w:val="346"/>
        </w:trPr>
        <w:tc>
          <w:tcPr>
            <w:tcW w:w="4537" w:type="dxa"/>
            <w:tcBorders>
              <w:top w:val="single" w:sz="2" w:space="0" w:color="000000"/>
              <w:left w:val="single" w:sz="2" w:space="0" w:color="000000"/>
              <w:bottom w:val="single" w:sz="2" w:space="0" w:color="000000"/>
              <w:right w:val="single" w:sz="2" w:space="0" w:color="000000"/>
            </w:tcBorders>
          </w:tcPr>
          <w:p w14:paraId="73DD78A5" w14:textId="77777777" w:rsidR="00031463" w:rsidRDefault="00974BDB">
            <w:pPr>
              <w:spacing w:line="259" w:lineRule="auto"/>
              <w:ind w:left="2" w:right="0" w:firstLine="0"/>
              <w:jc w:val="left"/>
            </w:pPr>
            <w:r>
              <w:rPr>
                <w:b/>
                <w:sz w:val="20"/>
              </w:rPr>
              <w:t>Vypracoval:</w:t>
            </w:r>
          </w:p>
        </w:tc>
        <w:tc>
          <w:tcPr>
            <w:tcW w:w="5120" w:type="dxa"/>
            <w:tcBorders>
              <w:top w:val="single" w:sz="2" w:space="0" w:color="000000"/>
              <w:left w:val="single" w:sz="2" w:space="0" w:color="000000"/>
              <w:bottom w:val="single" w:sz="2" w:space="0" w:color="000000"/>
              <w:right w:val="single" w:sz="2" w:space="0" w:color="000000"/>
            </w:tcBorders>
          </w:tcPr>
          <w:p w14:paraId="126A5059" w14:textId="77777777" w:rsidR="00031463" w:rsidRDefault="00974BDB" w:rsidP="00063F21">
            <w:pPr>
              <w:spacing w:line="259" w:lineRule="auto"/>
              <w:ind w:left="0" w:right="0" w:firstLine="0"/>
              <w:jc w:val="left"/>
            </w:pPr>
            <w:r>
              <w:rPr>
                <w:sz w:val="20"/>
              </w:rPr>
              <w:t xml:space="preserve">Mgr. </w:t>
            </w:r>
            <w:r w:rsidR="00063F21">
              <w:rPr>
                <w:sz w:val="20"/>
              </w:rPr>
              <w:t>Dana Vaškov</w:t>
            </w:r>
            <w:r>
              <w:rPr>
                <w:sz w:val="20"/>
              </w:rPr>
              <w:t>á</w:t>
            </w:r>
          </w:p>
        </w:tc>
      </w:tr>
      <w:tr w:rsidR="00031463" w14:paraId="23866154" w14:textId="77777777">
        <w:trPr>
          <w:trHeight w:val="343"/>
        </w:trPr>
        <w:tc>
          <w:tcPr>
            <w:tcW w:w="4537" w:type="dxa"/>
            <w:tcBorders>
              <w:top w:val="single" w:sz="2" w:space="0" w:color="000000"/>
              <w:left w:val="single" w:sz="2" w:space="0" w:color="000000"/>
              <w:bottom w:val="single" w:sz="2" w:space="0" w:color="000000"/>
              <w:right w:val="single" w:sz="2" w:space="0" w:color="000000"/>
            </w:tcBorders>
          </w:tcPr>
          <w:p w14:paraId="75F84F6B" w14:textId="77777777" w:rsidR="00031463" w:rsidRDefault="00974BDB">
            <w:pPr>
              <w:spacing w:line="259" w:lineRule="auto"/>
              <w:ind w:left="2" w:right="0" w:firstLine="0"/>
              <w:jc w:val="left"/>
            </w:pPr>
            <w:r>
              <w:rPr>
                <w:b/>
                <w:sz w:val="20"/>
              </w:rPr>
              <w:t>Vnútorný predpis schválený dňa:</w:t>
            </w:r>
          </w:p>
        </w:tc>
        <w:tc>
          <w:tcPr>
            <w:tcW w:w="5120" w:type="dxa"/>
            <w:tcBorders>
              <w:top w:val="single" w:sz="2" w:space="0" w:color="000000"/>
              <w:left w:val="single" w:sz="2" w:space="0" w:color="000000"/>
              <w:bottom w:val="single" w:sz="2" w:space="0" w:color="000000"/>
              <w:right w:val="single" w:sz="2" w:space="0" w:color="000000"/>
            </w:tcBorders>
          </w:tcPr>
          <w:p w14:paraId="520BA359" w14:textId="77777777" w:rsidR="00031463" w:rsidRDefault="00063F21" w:rsidP="00063F21">
            <w:pPr>
              <w:spacing w:line="259" w:lineRule="auto"/>
              <w:ind w:right="0"/>
              <w:jc w:val="left"/>
            </w:pPr>
            <w:r>
              <w:rPr>
                <w:rFonts w:ascii="Times New Roman" w:eastAsia="Times New Roman" w:hAnsi="Times New Roman" w:cs="Times New Roman"/>
              </w:rPr>
              <w:t>1.</w:t>
            </w:r>
            <w:r w:rsidR="007918A3" w:rsidRPr="00063F21">
              <w:rPr>
                <w:rFonts w:ascii="Times New Roman" w:eastAsia="Times New Roman" w:hAnsi="Times New Roman" w:cs="Times New Roman"/>
              </w:rPr>
              <w:t>september 2025</w:t>
            </w:r>
          </w:p>
        </w:tc>
      </w:tr>
      <w:tr w:rsidR="00031463" w14:paraId="206B2FB9" w14:textId="77777777">
        <w:trPr>
          <w:trHeight w:val="346"/>
        </w:trPr>
        <w:tc>
          <w:tcPr>
            <w:tcW w:w="4537" w:type="dxa"/>
            <w:tcBorders>
              <w:top w:val="single" w:sz="2" w:space="0" w:color="000000"/>
              <w:left w:val="single" w:sz="2" w:space="0" w:color="000000"/>
              <w:bottom w:val="single" w:sz="2" w:space="0" w:color="000000"/>
              <w:right w:val="single" w:sz="2" w:space="0" w:color="000000"/>
            </w:tcBorders>
          </w:tcPr>
          <w:p w14:paraId="75509EBE" w14:textId="77777777" w:rsidR="00031463" w:rsidRDefault="00974BDB">
            <w:pPr>
              <w:spacing w:line="259" w:lineRule="auto"/>
              <w:ind w:left="2" w:right="0" w:firstLine="0"/>
              <w:jc w:val="left"/>
            </w:pPr>
            <w:r>
              <w:rPr>
                <w:b/>
                <w:sz w:val="20"/>
              </w:rPr>
              <w:t>Vnútorný predpis nadobudol platnosť dňa:</w:t>
            </w:r>
          </w:p>
        </w:tc>
        <w:tc>
          <w:tcPr>
            <w:tcW w:w="5120" w:type="dxa"/>
            <w:tcBorders>
              <w:top w:val="single" w:sz="2" w:space="0" w:color="000000"/>
              <w:left w:val="single" w:sz="2" w:space="0" w:color="000000"/>
              <w:bottom w:val="single" w:sz="2" w:space="0" w:color="000000"/>
              <w:right w:val="single" w:sz="2" w:space="0" w:color="000000"/>
            </w:tcBorders>
          </w:tcPr>
          <w:p w14:paraId="30E6C6F3" w14:textId="77777777" w:rsidR="00031463" w:rsidRDefault="00974BDB">
            <w:pPr>
              <w:spacing w:line="259" w:lineRule="auto"/>
              <w:ind w:left="0" w:right="0" w:firstLine="0"/>
              <w:jc w:val="left"/>
            </w:pPr>
            <w:r>
              <w:rPr>
                <w:sz w:val="20"/>
              </w:rPr>
              <w:t xml:space="preserve">1. </w:t>
            </w:r>
            <w:r w:rsidR="007918A3">
              <w:rPr>
                <w:sz w:val="20"/>
              </w:rPr>
              <w:t>september 2025</w:t>
            </w:r>
          </w:p>
        </w:tc>
      </w:tr>
    </w:tbl>
    <w:p w14:paraId="4B127EB5" w14:textId="77777777" w:rsidR="00031463" w:rsidRDefault="00031463">
      <w:pPr>
        <w:spacing w:after="0" w:line="259" w:lineRule="auto"/>
        <w:ind w:left="0" w:right="0" w:firstLine="0"/>
        <w:jc w:val="left"/>
      </w:pPr>
    </w:p>
    <w:p w14:paraId="1F93CFEE" w14:textId="77777777" w:rsidR="00031463" w:rsidRDefault="00031463">
      <w:pPr>
        <w:spacing w:after="0" w:line="259" w:lineRule="auto"/>
        <w:ind w:left="0" w:right="0" w:firstLine="0"/>
        <w:jc w:val="left"/>
      </w:pPr>
    </w:p>
    <w:p w14:paraId="049C9FB4" w14:textId="77777777" w:rsidR="00031463" w:rsidRDefault="00031463">
      <w:pPr>
        <w:spacing w:after="0" w:line="259" w:lineRule="auto"/>
        <w:ind w:left="0" w:right="0" w:firstLine="0"/>
        <w:jc w:val="left"/>
      </w:pPr>
    </w:p>
    <w:p w14:paraId="07A75F63" w14:textId="77777777" w:rsidR="00031463" w:rsidRDefault="00031463">
      <w:pPr>
        <w:spacing w:after="0" w:line="259" w:lineRule="auto"/>
        <w:ind w:left="0" w:right="0" w:firstLine="0"/>
        <w:jc w:val="left"/>
      </w:pPr>
    </w:p>
    <w:p w14:paraId="3B0305C6" w14:textId="77777777" w:rsidR="00031463" w:rsidRDefault="00974BDB">
      <w:pPr>
        <w:pStyle w:val="Nadpis2"/>
        <w:spacing w:after="20"/>
      </w:pPr>
      <w:r>
        <w:t xml:space="preserve">Článok 1 </w:t>
      </w:r>
    </w:p>
    <w:p w14:paraId="7E01483B" w14:textId="77777777" w:rsidR="00031463" w:rsidRDefault="00974BDB">
      <w:pPr>
        <w:pStyle w:val="Nadpis3"/>
        <w:spacing w:after="181"/>
      </w:pPr>
      <w:r>
        <w:t xml:space="preserve">Úvodné ustanovenia </w:t>
      </w:r>
    </w:p>
    <w:p w14:paraId="123CEE55" w14:textId="77777777" w:rsidR="00031463" w:rsidRDefault="00974BDB">
      <w:pPr>
        <w:spacing w:line="358" w:lineRule="auto"/>
        <w:ind w:left="-5" w:right="0"/>
      </w:pPr>
      <w:r>
        <w:rPr>
          <w:i/>
        </w:rPr>
        <w:t xml:space="preserve">Základným právnym zdôvodnením segregácie žiakov vo vzdelávacích inštitúciách bolo uznesenie najvyššieho súdu USA v kauze </w:t>
      </w:r>
      <w:proofErr w:type="spellStart"/>
      <w:r>
        <w:rPr>
          <w:i/>
        </w:rPr>
        <w:t>Plessyvs</w:t>
      </w:r>
      <w:proofErr w:type="spellEnd"/>
      <w:r>
        <w:rPr>
          <w:i/>
        </w:rPr>
        <w:t xml:space="preserve">. </w:t>
      </w:r>
      <w:proofErr w:type="spellStart"/>
      <w:r>
        <w:rPr>
          <w:i/>
        </w:rPr>
        <w:t>Ferguson</w:t>
      </w:r>
      <w:proofErr w:type="spellEnd"/>
      <w:r>
        <w:rPr>
          <w:i/>
        </w:rPr>
        <w:t xml:space="preserve"> (1896), ktoré stanovilo, že osobitné ustanovizne pre bielych a farebných sú povolené za predpokladu, že budú rovnakej kvality. Skutočnos</w:t>
      </w:r>
      <w:r w:rsidR="00D757A3">
        <w:rPr>
          <w:i/>
        </w:rPr>
        <w:t>ť</w:t>
      </w:r>
      <w:r>
        <w:rPr>
          <w:i/>
        </w:rPr>
        <w:t xml:space="preserve"> však bola taká, že rovnakosť kvality bola iba deklarovaná, ale nikdy sa nestala skutočnosťou. Od tohto uznesenia pochádza základná definícia segregácie v školstve „oddelene, ale rovnako“. Najprimitívnejšou filozofiou zrovnoprávnenia všetkých detí by bola vzdelávacia filozofia </w:t>
      </w:r>
      <w:r>
        <w:rPr>
          <w:b/>
          <w:i/>
        </w:rPr>
        <w:t>„spoločne a rovnako“,</w:t>
      </w:r>
      <w:r>
        <w:rPr>
          <w:i/>
        </w:rPr>
        <w:t xml:space="preserve"> teda požiadavka, aby sa všetky deti vzdelávali spoločne v tých istých triedach a učili sa podľa toho istého vzdelávacieho programu. Takáto filozofia bola uplatnená vo vzdelávacom systéme nazývanom </w:t>
      </w:r>
      <w:r>
        <w:rPr>
          <w:b/>
          <w:i/>
        </w:rPr>
        <w:t>„jednotná škola“,</w:t>
      </w:r>
      <w:r>
        <w:rPr>
          <w:i/>
        </w:rPr>
        <w:t xml:space="preserve"> ktorý zdôrazňoval rovnosť príležitostí, ale v realite zaviedol diskrimináciu a segregáciu žiakov, ktorí sa nevošli do prijateľného väčšinového rámca. Pre nich sa vytvoril </w:t>
      </w:r>
      <w:r>
        <w:rPr>
          <w:i/>
        </w:rPr>
        <w:lastRenderedPageBreak/>
        <w:t>systém špeciálnych škôl, ktoré mali isté opodstatnenie pre vzdelávanie detí s vážnymi zmyslovými a možno aj ortopedickými poruchami, ale zaviedol najdiskriminačnejšie vzdelávacie ustanovizne, školy pre deti so spomaleným rozvojom intelektu, ktoré pre ne znamenali automatickú slepú uličku pri prechode na stredoškolský stupeň vzdelávania. Kritickým nedostatkom tohto systému bolo, že do špeciálnych škôl sa zarad</w:t>
      </w:r>
      <w:r w:rsidR="00D757A3">
        <w:rPr>
          <w:i/>
        </w:rPr>
        <w:t>z</w:t>
      </w:r>
      <w:r>
        <w:rPr>
          <w:i/>
        </w:rPr>
        <w:t xml:space="preserve">ovali nielen deti s mentálnou retardáciou, ale predovšetkým deti z rómskych komunít, ktoré v šiestom roku života neovládali vyučovací jazyk. Tým, že sme ako štát prijali zásadu budovať inkluzívny vzdelávací systém, vynorila sa predstava, že na odstránenie diskriminácie a segregácie postačí, keď deti zo špeciálnych škôl presunieme do hlavného prúdu vzdelávania. Takáto filozofia však neguje skutočnosť, že nie všetky deti sú rovnaké, nie všetky majú rovnaký štartovací bod pri vstupe do školského systému a ignoruje skúsenosť, že keď poskytneme deťom rovnaké vzdelávacie podnety, výsledky učenia budú veľmi odlišné. Rozdiely v rýchlosti a štýle učenia sa nedajú odstrániť, a tak koncepcia inklúzie vo vzdelávaní vyvolala potrebu doplniť učiteľský zbor ďalšími odborníkmi, ktorí by svojím pôsobením mohli existujúce rozdiely eliminovať, alebo aspoň minimalizovať, aby zásada „spolu a rovnako“ mohla viest k cieľu, ktorým je pri ukončovaní povinného formálneho vzdelávania dosiahnutá rovnaká úroveň vzdelanosti.  </w:t>
      </w:r>
    </w:p>
    <w:p w14:paraId="468FDFC3" w14:textId="77777777" w:rsidR="00031463" w:rsidRDefault="00D757A3">
      <w:pPr>
        <w:spacing w:after="159" w:line="358" w:lineRule="auto"/>
        <w:ind w:left="-5" w:right="0"/>
      </w:pPr>
      <w:r>
        <w:rPr>
          <w:b/>
          <w:i/>
        </w:rPr>
        <w:t xml:space="preserve">Základná škola, Sveržov 52,  vydáva tento </w:t>
      </w:r>
      <w:proofErr w:type="spellStart"/>
      <w:r>
        <w:rPr>
          <w:b/>
          <w:i/>
        </w:rPr>
        <w:t>Desegregačný</w:t>
      </w:r>
      <w:proofErr w:type="spellEnd"/>
      <w:r>
        <w:rPr>
          <w:b/>
          <w:i/>
        </w:rPr>
        <w:t xml:space="preserve"> a inkluzívny plán, ktorý zahŕňa </w:t>
      </w:r>
      <w:proofErr w:type="spellStart"/>
      <w:r>
        <w:rPr>
          <w:b/>
          <w:i/>
        </w:rPr>
        <w:t>desegregačné</w:t>
      </w:r>
      <w:proofErr w:type="spellEnd"/>
      <w:r>
        <w:rPr>
          <w:b/>
          <w:i/>
        </w:rPr>
        <w:t xml:space="preserve"> štandardy a vymedzuje rovnaké príležitosti pre všetkých žiakov školy. </w:t>
      </w:r>
    </w:p>
    <w:p w14:paraId="18880E1D" w14:textId="77777777" w:rsidR="00031463" w:rsidRDefault="00974BDB">
      <w:pPr>
        <w:pStyle w:val="Nadpis2"/>
      </w:pPr>
      <w:r>
        <w:t>Článok 2</w:t>
      </w:r>
    </w:p>
    <w:p w14:paraId="369232F2" w14:textId="77777777" w:rsidR="00031463" w:rsidRDefault="00974BDB">
      <w:pPr>
        <w:pStyle w:val="Nadpis3"/>
      </w:pPr>
      <w:proofErr w:type="spellStart"/>
      <w:r>
        <w:t>Desegregácia</w:t>
      </w:r>
      <w:proofErr w:type="spellEnd"/>
      <w:r>
        <w:t xml:space="preserve"> vo výchove a vzdelávaní </w:t>
      </w:r>
    </w:p>
    <w:p w14:paraId="21B94189" w14:textId="77777777" w:rsidR="00031463" w:rsidRDefault="00974BDB">
      <w:pPr>
        <w:ind w:left="-5" w:right="0"/>
      </w:pPr>
      <w:r>
        <w:t>Segreg</w:t>
      </w:r>
      <w:r w:rsidR="00D757A3">
        <w:t>ác</w:t>
      </w:r>
      <w:r>
        <w:t>iou sa v be</w:t>
      </w:r>
      <w:r w:rsidR="00D757A3">
        <w:t>ž</w:t>
      </w:r>
      <w:r>
        <w:t>nom diskurze označuje ak</w:t>
      </w:r>
      <w:r w:rsidR="00D757A3">
        <w:t>é</w:t>
      </w:r>
      <w:r>
        <w:t>koľvek oddeľovanie, či vz</w:t>
      </w:r>
      <w:r w:rsidR="00D757A3">
        <w:t>á</w:t>
      </w:r>
      <w:r>
        <w:t>jomn</w:t>
      </w:r>
      <w:r w:rsidR="00D757A3">
        <w:t>é</w:t>
      </w:r>
      <w:r>
        <w:t xml:space="preserve"> oddelen</w:t>
      </w:r>
      <w:r w:rsidR="00D757A3">
        <w:t>é</w:t>
      </w:r>
      <w:r>
        <w:t xml:space="preserve">  jestvovanie r</w:t>
      </w:r>
      <w:r w:rsidR="00D757A3">
        <w:t>ô</w:t>
      </w:r>
      <w:r>
        <w:t>zn</w:t>
      </w:r>
      <w:r w:rsidR="00D757A3">
        <w:t>yc</w:t>
      </w:r>
      <w:r>
        <w:t>h skupín ľudí , alebo aj predmetov a materi</w:t>
      </w:r>
      <w:r w:rsidR="00D757A3">
        <w:t>á</w:t>
      </w:r>
      <w:r>
        <w:t>lov. Pojm</w:t>
      </w:r>
      <w:r w:rsidR="00D757A3">
        <w:t>y</w:t>
      </w:r>
      <w:r>
        <w:t xml:space="preserve"> segreg</w:t>
      </w:r>
      <w:r w:rsidR="00D757A3">
        <w:t>ác</w:t>
      </w:r>
      <w:r>
        <w:t>ia a separ</w:t>
      </w:r>
      <w:r w:rsidR="00D757A3">
        <w:t>ác</w:t>
      </w:r>
      <w:r>
        <w:t>ia (</w:t>
      </w:r>
      <w:r w:rsidR="00D757A3">
        <w:t>mechanické</w:t>
      </w:r>
      <w:r>
        <w:t xml:space="preserve"> , či </w:t>
      </w:r>
      <w:r w:rsidR="00D757A3">
        <w:t>priestorové</w:t>
      </w:r>
      <w:r>
        <w:t xml:space="preserve">  oddeľovanie a triedenie) v</w:t>
      </w:r>
      <w:r w:rsidR="00D757A3">
        <w:t>š</w:t>
      </w:r>
      <w:r>
        <w:t xml:space="preserve">ak často </w:t>
      </w:r>
      <w:r w:rsidR="00D757A3">
        <w:t>splývajú</w:t>
      </w:r>
      <w:r>
        <w:t xml:space="preserve"> . Segreg</w:t>
      </w:r>
      <w:r w:rsidR="00D757A3">
        <w:t>ác</w:t>
      </w:r>
      <w:r>
        <w:t xml:space="preserve">ia v tom </w:t>
      </w:r>
      <w:r w:rsidR="00D757A3">
        <w:t>zmysle</w:t>
      </w:r>
      <w:r>
        <w:t>, v akom ho pou</w:t>
      </w:r>
      <w:r w:rsidR="00D757A3">
        <w:t>ž</w:t>
      </w:r>
      <w:r>
        <w:t>ívame m</w:t>
      </w:r>
      <w:r w:rsidR="00D757A3">
        <w:t>y</w:t>
      </w:r>
      <w:r>
        <w:t>, je v</w:t>
      </w:r>
      <w:r w:rsidR="00D757A3">
        <w:t>š</w:t>
      </w:r>
      <w:r>
        <w:t>ak pr</w:t>
      </w:r>
      <w:r w:rsidR="00D757A3">
        <w:t>á</w:t>
      </w:r>
      <w:r>
        <w:t>vn</w:t>
      </w:r>
      <w:r w:rsidR="00D757A3">
        <w:t>y</w:t>
      </w:r>
      <w:r>
        <w:t>, ľudskopr</w:t>
      </w:r>
      <w:r w:rsidR="00D757A3">
        <w:t>á</w:t>
      </w:r>
      <w:r>
        <w:t>vn</w:t>
      </w:r>
      <w:r w:rsidR="00D757A3">
        <w:t>y</w:t>
      </w:r>
      <w:r>
        <w:t xml:space="preserve">, </w:t>
      </w:r>
      <w:r w:rsidR="00D757A3">
        <w:t>sociologický</w:t>
      </w:r>
      <w:r>
        <w:t xml:space="preserve">  a </w:t>
      </w:r>
      <w:r w:rsidR="00D757A3">
        <w:t>pedagogický</w:t>
      </w:r>
      <w:r>
        <w:t xml:space="preserve">  pojem, pou</w:t>
      </w:r>
      <w:r w:rsidR="00D757A3">
        <w:t>ž</w:t>
      </w:r>
      <w:r>
        <w:t>ívaný  v kontexte spoločenský</w:t>
      </w:r>
      <w:r w:rsidR="00D757A3">
        <w:t>c</w:t>
      </w:r>
      <w:r>
        <w:t>h a medziľudský</w:t>
      </w:r>
      <w:r w:rsidR="00D757A3">
        <w:t>c</w:t>
      </w:r>
      <w:r>
        <w:t>h vzťahov. Pre jeho spr</w:t>
      </w:r>
      <w:r w:rsidR="00D757A3">
        <w:t>á</w:t>
      </w:r>
      <w:r>
        <w:t xml:space="preserve">vne </w:t>
      </w:r>
      <w:r w:rsidR="00D757A3">
        <w:t>uchopenie</w:t>
      </w:r>
      <w:r>
        <w:t xml:space="preserve"> je d</w:t>
      </w:r>
      <w:r w:rsidR="00D757A3">
        <w:t>ô</w:t>
      </w:r>
      <w:r>
        <w:t>le</w:t>
      </w:r>
      <w:r w:rsidR="00D757A3">
        <w:t>ž</w:t>
      </w:r>
      <w:r>
        <w:t>it</w:t>
      </w:r>
      <w:r w:rsidR="00D757A3">
        <w:t>é</w:t>
      </w:r>
      <w:r>
        <w:t xml:space="preserve">  ho </w:t>
      </w:r>
      <w:r w:rsidR="00D757A3">
        <w:t>analyzovať</w:t>
      </w:r>
      <w:r>
        <w:t xml:space="preserve"> v kontexte medzin</w:t>
      </w:r>
      <w:r w:rsidR="00D757A3">
        <w:t>á</w:t>
      </w:r>
      <w:r>
        <w:t>rodn</w:t>
      </w:r>
      <w:r w:rsidR="00D757A3">
        <w:t>é</w:t>
      </w:r>
      <w:r>
        <w:t>ho pr</w:t>
      </w:r>
      <w:r w:rsidR="00D757A3">
        <w:t>á</w:t>
      </w:r>
      <w:r>
        <w:t>va a judikat</w:t>
      </w:r>
      <w:r w:rsidR="00D757A3">
        <w:t>ú</w:t>
      </w:r>
      <w:r>
        <w:t>r</w:t>
      </w:r>
      <w:r w:rsidR="00D757A3">
        <w:t>y</w:t>
      </w:r>
      <w:r>
        <w:t xml:space="preserve"> dom</w:t>
      </w:r>
      <w:r w:rsidR="0084394C">
        <w:t>ác</w:t>
      </w:r>
      <w:r>
        <w:t>i</w:t>
      </w:r>
      <w:r w:rsidR="0084394C">
        <w:t>c</w:t>
      </w:r>
      <w:r>
        <w:t>h i zahraničný</w:t>
      </w:r>
      <w:r w:rsidR="0084394C">
        <w:t>c</w:t>
      </w:r>
      <w:r>
        <w:t>h s</w:t>
      </w:r>
      <w:r w:rsidR="0084394C">
        <w:t>ú</w:t>
      </w:r>
      <w:r>
        <w:t>dov, v kontexte ľudský</w:t>
      </w:r>
      <w:r w:rsidR="0084394C">
        <w:t>c</w:t>
      </w:r>
      <w:r>
        <w:t>h pr</w:t>
      </w:r>
      <w:r w:rsidR="0084394C">
        <w:t>á</w:t>
      </w:r>
      <w:r>
        <w:t>v, v kontexte s</w:t>
      </w:r>
      <w:r w:rsidR="0084394C">
        <w:t>ú</w:t>
      </w:r>
      <w:r>
        <w:t>visia</w:t>
      </w:r>
      <w:r w:rsidR="0084394C">
        <w:t>c</w:t>
      </w:r>
      <w:r>
        <w:t>i</w:t>
      </w:r>
      <w:r w:rsidR="0084394C">
        <w:t>c</w:t>
      </w:r>
      <w:r>
        <w:t>h pr</w:t>
      </w:r>
      <w:r w:rsidR="0084394C">
        <w:t>á</w:t>
      </w:r>
      <w:r>
        <w:t>vn</w:t>
      </w:r>
      <w:r w:rsidR="0084394C">
        <w:t>yc</w:t>
      </w:r>
      <w:r>
        <w:t>h predpisov Slovenskej republik</w:t>
      </w:r>
      <w:r w:rsidR="0084394C">
        <w:t>y</w:t>
      </w:r>
      <w:r>
        <w:t xml:space="preserve"> a v kontexte z</w:t>
      </w:r>
      <w:r w:rsidR="0084394C">
        <w:t>á</w:t>
      </w:r>
      <w:r>
        <w:t>kladný</w:t>
      </w:r>
      <w:r w:rsidR="0084394C">
        <w:t>c</w:t>
      </w:r>
      <w:r>
        <w:t>h prin</w:t>
      </w:r>
      <w:r w:rsidR="0084394C">
        <w:t>c</w:t>
      </w:r>
      <w:r>
        <w:t>ípov modernej pedagogi</w:t>
      </w:r>
      <w:r w:rsidR="0084394C">
        <w:t>c</w:t>
      </w:r>
      <w:r>
        <w:t>kej ved</w:t>
      </w:r>
      <w:r w:rsidR="0084394C">
        <w:t xml:space="preserve">y </w:t>
      </w:r>
      <w:r>
        <w:t xml:space="preserve">a praxe.  </w:t>
      </w:r>
    </w:p>
    <w:p w14:paraId="5B13F385" w14:textId="77777777" w:rsidR="00031463" w:rsidRDefault="00974BDB">
      <w:pPr>
        <w:ind w:left="-5" w:right="0"/>
      </w:pPr>
      <w:r>
        <w:lastRenderedPageBreak/>
        <w:t>Segreg</w:t>
      </w:r>
      <w:r w:rsidR="0084394C">
        <w:t>ác</w:t>
      </w:r>
      <w:r>
        <w:t>ia podkop</w:t>
      </w:r>
      <w:r w:rsidR="0084394C">
        <w:t>á</w:t>
      </w:r>
      <w:r>
        <w:t>va z</w:t>
      </w:r>
      <w:r w:rsidR="0084394C">
        <w:t>á</w:t>
      </w:r>
      <w:r>
        <w:t>kladn</w:t>
      </w:r>
      <w:r w:rsidR="0084394C">
        <w:t>é</w:t>
      </w:r>
      <w:r>
        <w:t xml:space="preserve">  prin</w:t>
      </w:r>
      <w:r w:rsidR="0084394C">
        <w:t>c</w:t>
      </w:r>
      <w:r>
        <w:t>íp</w:t>
      </w:r>
      <w:r w:rsidR="0084394C">
        <w:t xml:space="preserve">y </w:t>
      </w:r>
      <w:r>
        <w:t>modernej demokrati</w:t>
      </w:r>
      <w:r w:rsidR="0084394C">
        <w:t>c</w:t>
      </w:r>
      <w:r>
        <w:t>kej spoločnosti: rovnosť, ľudsk</w:t>
      </w:r>
      <w:r w:rsidR="0084394C">
        <w:t>ú</w:t>
      </w:r>
      <w:r>
        <w:t xml:space="preserve">  d</w:t>
      </w:r>
      <w:r w:rsidR="0084394C">
        <w:t>ô</w:t>
      </w:r>
      <w:r>
        <w:t>stojnosť a spravodlivosť. Z</w:t>
      </w:r>
      <w:r w:rsidR="0084394C">
        <w:t>á</w:t>
      </w:r>
      <w:r>
        <w:t>kazom segreg</w:t>
      </w:r>
      <w:r w:rsidR="0084394C">
        <w:t>ác</w:t>
      </w:r>
      <w:r>
        <w:t>ie z</w:t>
      </w:r>
      <w:r w:rsidR="0084394C">
        <w:t>á</w:t>
      </w:r>
      <w:r>
        <w:t>konodar</w:t>
      </w:r>
      <w:r w:rsidR="0084394C">
        <w:t>c</w:t>
      </w:r>
      <w:r>
        <w:t xml:space="preserve">a </w:t>
      </w:r>
      <w:r w:rsidR="0084394C">
        <w:t>c</w:t>
      </w:r>
      <w:r>
        <w:t>hr</w:t>
      </w:r>
      <w:r w:rsidR="0084394C">
        <w:t>á</w:t>
      </w:r>
      <w:r>
        <w:t>ni tieto z</w:t>
      </w:r>
      <w:r w:rsidR="0084394C">
        <w:t>á</w:t>
      </w:r>
      <w:r>
        <w:t>kladn</w:t>
      </w:r>
      <w:r w:rsidR="0084394C">
        <w:t>é</w:t>
      </w:r>
      <w:r>
        <w:t xml:space="preserve">  stavebn</w:t>
      </w:r>
      <w:r w:rsidR="0084394C">
        <w:t>éprvky</w:t>
      </w:r>
      <w:r>
        <w:t xml:space="preserve"> a </w:t>
      </w:r>
      <w:r w:rsidR="0084394C">
        <w:t>princípy</w:t>
      </w:r>
      <w:r>
        <w:t>. Eur</w:t>
      </w:r>
      <w:r w:rsidR="0084394C">
        <w:t>ó</w:t>
      </w:r>
      <w:r>
        <w:t>psk</w:t>
      </w:r>
      <w:r w:rsidR="0084394C">
        <w:t>y</w:t>
      </w:r>
      <w:r>
        <w:t xml:space="preserve"> s</w:t>
      </w:r>
      <w:r w:rsidR="0084394C">
        <w:t>ú</w:t>
      </w:r>
      <w:r>
        <w:t>d pre ľudsk</w:t>
      </w:r>
      <w:r w:rsidR="0084394C">
        <w:t>é</w:t>
      </w:r>
      <w:r>
        <w:t xml:space="preserve">  pr</w:t>
      </w:r>
      <w:r w:rsidR="0084394C">
        <w:t>á</w:t>
      </w:r>
      <w:r>
        <w:t>va vo via</w:t>
      </w:r>
      <w:r w:rsidR="0084394C">
        <w:t>c</w:t>
      </w:r>
      <w:r>
        <w:t>erý</w:t>
      </w:r>
      <w:r w:rsidR="0084394C">
        <w:t>c</w:t>
      </w:r>
      <w:r>
        <w:t>h svoji</w:t>
      </w:r>
      <w:r w:rsidR="0084394C">
        <w:t>c</w:t>
      </w:r>
      <w:r>
        <w:t>h rozsudko</w:t>
      </w:r>
      <w:r w:rsidR="0084394C">
        <w:t>c</w:t>
      </w:r>
      <w:r>
        <w:t>h skon</w:t>
      </w:r>
      <w:r w:rsidR="0084394C">
        <w:t>š</w:t>
      </w:r>
      <w:r>
        <w:t xml:space="preserve">tatoval, </w:t>
      </w:r>
      <w:r w:rsidR="0084394C">
        <w:t>ž</w:t>
      </w:r>
      <w:r>
        <w:t>e segreg</w:t>
      </w:r>
      <w:r w:rsidR="0084394C">
        <w:t>ác</w:t>
      </w:r>
      <w:r>
        <w:t>ia, osobitne segreg</w:t>
      </w:r>
      <w:r w:rsidR="0084394C">
        <w:t>ác</w:t>
      </w:r>
      <w:r>
        <w:t>ia v podobe priamej diskrimin</w:t>
      </w:r>
      <w:r w:rsidR="0084394C">
        <w:t>ác</w:t>
      </w:r>
      <w:r>
        <w:t>ie, je protipr</w:t>
      </w:r>
      <w:r w:rsidR="0084394C">
        <w:t>á</w:t>
      </w:r>
      <w:r>
        <w:t>vne konanie a je z</w:t>
      </w:r>
      <w:r w:rsidR="0084394C">
        <w:t>ávä</w:t>
      </w:r>
      <w:r>
        <w:t>zným poru</w:t>
      </w:r>
      <w:r w:rsidR="0084394C">
        <w:t>š</w:t>
      </w:r>
      <w:r>
        <w:t>ením z</w:t>
      </w:r>
      <w:r w:rsidR="0084394C">
        <w:t>ák</w:t>
      </w:r>
      <w:r>
        <w:t>ona. Z</w:t>
      </w:r>
      <w:r w:rsidR="0084394C">
        <w:t>á</w:t>
      </w:r>
      <w:r>
        <w:t>rove</w:t>
      </w:r>
      <w:r w:rsidR="0084394C">
        <w:t>ň</w:t>
      </w:r>
      <w:r>
        <w:t xml:space="preserve">  je nutn</w:t>
      </w:r>
      <w:r w:rsidR="0084394C">
        <w:t>é</w:t>
      </w:r>
      <w:r>
        <w:t xml:space="preserve">  podotkn</w:t>
      </w:r>
      <w:r w:rsidR="0084394C">
        <w:t>ú</w:t>
      </w:r>
      <w:r>
        <w:t xml:space="preserve">ť, </w:t>
      </w:r>
      <w:r w:rsidR="0084394C">
        <w:t>ž</w:t>
      </w:r>
      <w:r>
        <w:t>e konanie vo ve</w:t>
      </w:r>
      <w:r w:rsidR="0084394C">
        <w:t>c</w:t>
      </w:r>
      <w:r>
        <w:t>i identifik</w:t>
      </w:r>
      <w:r w:rsidR="0084394C">
        <w:t>ác</w:t>
      </w:r>
      <w:r>
        <w:t>ie a n</w:t>
      </w:r>
      <w:r w:rsidR="0084394C">
        <w:t>á</w:t>
      </w:r>
      <w:r>
        <w:t>prav</w:t>
      </w:r>
      <w:r w:rsidR="0084394C">
        <w:t>y</w:t>
      </w:r>
      <w:r>
        <w:t xml:space="preserve"> namietanej segreg</w:t>
      </w:r>
      <w:r w:rsidR="0084394C">
        <w:t>ác</w:t>
      </w:r>
      <w:r>
        <w:t xml:space="preserve">ie podlieha presne stanoveným </w:t>
      </w:r>
      <w:r w:rsidR="0084394C">
        <w:t>procesným</w:t>
      </w:r>
      <w:r>
        <w:t xml:space="preserve">  pravidl</w:t>
      </w:r>
      <w:r w:rsidR="0084394C">
        <w:t>á</w:t>
      </w:r>
      <w:r>
        <w:t>m a nem</w:t>
      </w:r>
      <w:r w:rsidR="0084394C">
        <w:t>ôž</w:t>
      </w:r>
      <w:r>
        <w:t>e b</w:t>
      </w:r>
      <w:r w:rsidR="0084394C">
        <w:t>y</w:t>
      </w:r>
      <w:r>
        <w:t>ť zalo</w:t>
      </w:r>
      <w:r w:rsidR="0084394C">
        <w:t>ž</w:t>
      </w:r>
      <w:r>
        <w:t>en</w:t>
      </w:r>
      <w:r w:rsidR="0084394C">
        <w:t>é</w:t>
      </w:r>
      <w:r>
        <w:t xml:space="preserve"> na svojvoľnom poukazovaní . </w:t>
      </w:r>
    </w:p>
    <w:p w14:paraId="27720B7C" w14:textId="77777777" w:rsidR="00031463" w:rsidRDefault="00974BDB">
      <w:pPr>
        <w:ind w:left="-5" w:right="0"/>
      </w:pPr>
      <w:r>
        <w:t>Segreg</w:t>
      </w:r>
      <w:r w:rsidR="0084394C">
        <w:t>ác</w:t>
      </w:r>
      <w:r>
        <w:t>iou vo vý</w:t>
      </w:r>
      <w:r w:rsidR="0084394C">
        <w:t>c</w:t>
      </w:r>
      <w:r>
        <w:t>hove a vzdel</w:t>
      </w:r>
      <w:r w:rsidR="0084394C">
        <w:t>á</w:t>
      </w:r>
      <w:r>
        <w:t>vaní  sa v zm</w:t>
      </w:r>
      <w:r w:rsidR="0084394C">
        <w:t>y</w:t>
      </w:r>
      <w:r>
        <w:t xml:space="preserve">sle </w:t>
      </w:r>
      <w:r w:rsidR="0084394C">
        <w:t>š</w:t>
      </w:r>
      <w:r>
        <w:t>kolsk</w:t>
      </w:r>
      <w:r w:rsidR="0084394C">
        <w:t>é</w:t>
      </w:r>
      <w:r>
        <w:t>ho z</w:t>
      </w:r>
      <w:r w:rsidR="0084394C">
        <w:t>á</w:t>
      </w:r>
      <w:r>
        <w:t>kona rozumie „konanie alebo opomenutie konania, ktor</w:t>
      </w:r>
      <w:r w:rsidR="0084394C">
        <w:t>é</w:t>
      </w:r>
      <w:r>
        <w:t xml:space="preserve">  je v rozpore so z</w:t>
      </w:r>
      <w:r w:rsidR="0084394C">
        <w:t>á</w:t>
      </w:r>
      <w:r>
        <w:t>sadou rovnak</w:t>
      </w:r>
      <w:r w:rsidR="0084394C">
        <w:t>é</w:t>
      </w:r>
      <w:r>
        <w:t>ho zaob</w:t>
      </w:r>
      <w:r w:rsidR="0084394C">
        <w:t>c</w:t>
      </w:r>
      <w:r>
        <w:t>h</w:t>
      </w:r>
      <w:r w:rsidR="0084394C">
        <w:t>á</w:t>
      </w:r>
      <w:r>
        <w:t>dzania podľa osobitn</w:t>
      </w:r>
      <w:r w:rsidR="0084394C">
        <w:t>é</w:t>
      </w:r>
      <w:r>
        <w:t>ho predpisu a v d</w:t>
      </w:r>
      <w:r w:rsidR="0084394C">
        <w:t>ôs</w:t>
      </w:r>
      <w:r w:rsidR="000F3925">
        <w:t>l</w:t>
      </w:r>
      <w:r>
        <w:t>edku ktor</w:t>
      </w:r>
      <w:r w:rsidR="0084394C">
        <w:t>é</w:t>
      </w:r>
      <w:r>
        <w:t>ho do</w:t>
      </w:r>
      <w:r w:rsidR="000F3925">
        <w:t>c</w:t>
      </w:r>
      <w:r>
        <w:t>h</w:t>
      </w:r>
      <w:r w:rsidR="000F3925">
        <w:t>á</w:t>
      </w:r>
      <w:r>
        <w:t>dza alebo b</w:t>
      </w:r>
      <w:r w:rsidR="000F3925">
        <w:t>y</w:t>
      </w:r>
      <w:r>
        <w:t xml:space="preserve"> mohlo d</w:t>
      </w:r>
      <w:r w:rsidR="000F3925">
        <w:t>ô</w:t>
      </w:r>
      <w:r>
        <w:t>jsť k priestorov</w:t>
      </w:r>
      <w:r w:rsidR="000F3925">
        <w:t>é</w:t>
      </w:r>
      <w:r>
        <w:t>mu, organizačn</w:t>
      </w:r>
      <w:r w:rsidR="000F3925">
        <w:t>é</w:t>
      </w:r>
      <w:r>
        <w:t>mu, f</w:t>
      </w:r>
      <w:r w:rsidR="000F3925">
        <w:t>y</w:t>
      </w:r>
      <w:r>
        <w:t>zi</w:t>
      </w:r>
      <w:r w:rsidR="000F3925">
        <w:t>c</w:t>
      </w:r>
      <w:r>
        <w:t>k</w:t>
      </w:r>
      <w:r w:rsidR="000F3925">
        <w:t>é</w:t>
      </w:r>
      <w:r>
        <w:t>mu alebo so</w:t>
      </w:r>
      <w:r w:rsidR="000F3925">
        <w:t>c</w:t>
      </w:r>
      <w:r>
        <w:t>i</w:t>
      </w:r>
      <w:r w:rsidR="000F3925">
        <w:t>á</w:t>
      </w:r>
      <w:r>
        <w:t>lnemu v</w:t>
      </w:r>
      <w:r w:rsidR="000F3925">
        <w:t>ylu</w:t>
      </w:r>
      <w:r>
        <w:t>čovaniu alebo oddeľovaniu skupin</w:t>
      </w:r>
      <w:r w:rsidR="000F3925">
        <w:t>y</w:t>
      </w:r>
      <w:r>
        <w:t xml:space="preserve"> detí , </w:t>
      </w:r>
      <w:r w:rsidR="000F3925">
        <w:t>ž</w:t>
      </w:r>
      <w:r>
        <w:t>iakov, poslu</w:t>
      </w:r>
      <w:r w:rsidR="000F3925">
        <w:t>c</w:t>
      </w:r>
      <w:r>
        <w:t>h</w:t>
      </w:r>
      <w:r w:rsidR="000F3925">
        <w:t>á</w:t>
      </w:r>
      <w:r>
        <w:t xml:space="preserve">čov alebo </w:t>
      </w:r>
      <w:r w:rsidR="000F3925">
        <w:t>ú</w:t>
      </w:r>
      <w:r>
        <w:t>častníkov vý</w:t>
      </w:r>
      <w:r w:rsidR="000F3925">
        <w:t>c</w:t>
      </w:r>
      <w:r>
        <w:t>hov</w:t>
      </w:r>
      <w:r w:rsidR="000F3925">
        <w:t>y</w:t>
      </w:r>
      <w:r>
        <w:t xml:space="preserve"> a vzdel</w:t>
      </w:r>
      <w:r w:rsidR="000F3925">
        <w:t>á</w:t>
      </w:r>
      <w:r>
        <w:t>vania bez d</w:t>
      </w:r>
      <w:r w:rsidR="000F3925">
        <w:t>ô</w:t>
      </w:r>
      <w:r>
        <w:t>vodu, ktorý  v</w:t>
      </w:r>
      <w:r w:rsidR="000F3925">
        <w:t>y</w:t>
      </w:r>
      <w:r>
        <w:t>plýva z tohto z</w:t>
      </w:r>
      <w:r w:rsidR="000F3925">
        <w:t>á</w:t>
      </w:r>
      <w:r>
        <w:t xml:space="preserve">kona“. </w:t>
      </w:r>
    </w:p>
    <w:p w14:paraId="5D2F698A" w14:textId="77777777" w:rsidR="00485B15" w:rsidRPr="00485B15" w:rsidRDefault="00485B15" w:rsidP="00485B15">
      <w:pPr>
        <w:ind w:left="-5" w:right="0"/>
        <w:rPr>
          <w:bCs/>
        </w:rPr>
      </w:pPr>
      <w:r>
        <w:rPr>
          <w:b/>
        </w:rPr>
        <w:t>K</w:t>
      </w:r>
      <w:r w:rsidRPr="00485B15">
        <w:rPr>
          <w:b/>
        </w:rPr>
        <w:t xml:space="preserve">onečným cieľom </w:t>
      </w:r>
      <w:proofErr w:type="spellStart"/>
      <w:r w:rsidRPr="00485B15">
        <w:rPr>
          <w:b/>
        </w:rPr>
        <w:t>desegregácie</w:t>
      </w:r>
      <w:proofErr w:type="spellEnd"/>
      <w:r w:rsidRPr="00485B15">
        <w:rPr>
          <w:b/>
        </w:rPr>
        <w:t xml:space="preserve"> je dosiahnutie sociálnej inklúzie účastníkov procesu vzdelávania a vytvorenie takých podmienok pre učiacich sa patriacich k znevýhodnenej skupine, aby po skončení vzdelávania neostali v pasci sociálneho vylúčenia. </w:t>
      </w:r>
      <w:r w:rsidRPr="00485B15">
        <w:rPr>
          <w:bCs/>
        </w:rPr>
        <w:t xml:space="preserve">Z tohto pohľadu musíme v konečnom dôsledku posudzovať aj efektívnosť </w:t>
      </w:r>
      <w:proofErr w:type="spellStart"/>
      <w:r w:rsidRPr="00485B15">
        <w:rPr>
          <w:bCs/>
        </w:rPr>
        <w:t>desegregačných</w:t>
      </w:r>
      <w:proofErr w:type="spellEnd"/>
      <w:r w:rsidRPr="00485B15">
        <w:rPr>
          <w:bCs/>
        </w:rPr>
        <w:t xml:space="preserve"> opatrení. Odstránenie neprípustného oddeľovania nie je samoúčelom, ale prostriedkom a medzistupňom na ceste dosiahnutia konečného cieľa. Niektoré formy „vylučovania“ uvedené v definícii zdôrazňujú statický a niektoré dynamický pohľad na segregáciu a inklúziu.</w:t>
      </w:r>
    </w:p>
    <w:p w14:paraId="7EF0B6A2" w14:textId="77777777" w:rsidR="00485B15" w:rsidRPr="00485B15" w:rsidRDefault="00485B15" w:rsidP="00485B15">
      <w:pPr>
        <w:ind w:left="-5" w:right="0"/>
        <w:rPr>
          <w:bCs/>
        </w:rPr>
      </w:pPr>
      <w:r w:rsidRPr="00485B15">
        <w:rPr>
          <w:bCs/>
        </w:rPr>
        <w:t xml:space="preserve">Pojem „sociálne vylúčenie“ reflektuje najmä dynamický pohľad, teda či </w:t>
      </w:r>
      <w:proofErr w:type="spellStart"/>
      <w:r w:rsidRPr="00485B15">
        <w:rPr>
          <w:bCs/>
        </w:rPr>
        <w:t>desegregačné</w:t>
      </w:r>
      <w:proofErr w:type="spellEnd"/>
      <w:r w:rsidRPr="00485B15">
        <w:rPr>
          <w:bCs/>
        </w:rPr>
        <w:t xml:space="preserve"> aktivity vedú v konečnom dôsledku skutočne k sociálnej inklúzii. Pojmy „priestorové, organizačné a fyzické vylučovanie“ charakterizujú skôr aktuálne opatrenia a reflektujú segregáciu ako stav. Obidva tieto aspekty musia byťv rovnováhe.</w:t>
      </w:r>
    </w:p>
    <w:p w14:paraId="739B6D71" w14:textId="77777777" w:rsidR="00485B15" w:rsidRPr="00485B15" w:rsidRDefault="00485B15" w:rsidP="00485B15">
      <w:pPr>
        <w:ind w:left="-5" w:right="0"/>
        <w:rPr>
          <w:bCs/>
        </w:rPr>
      </w:pPr>
      <w:r w:rsidRPr="00485B15">
        <w:rPr>
          <w:bCs/>
        </w:rPr>
        <w:t>Kvalitné inkluzívne vzdelávanie v prípade detí a žiakov prichádzajúcich z odlišného sociálneho a kultúrneho prostredia by malo obsahovať aj prvky prijateľnosti a prispôsobivosti (adaptability) a malo by byť prispôsobené potrebám detí a žiakov vyplývajúcim z ich postavenia.</w:t>
      </w:r>
    </w:p>
    <w:p w14:paraId="2CC28D5A" w14:textId="77777777" w:rsidR="00485B15" w:rsidRPr="00485B15" w:rsidRDefault="00485B15" w:rsidP="00485B15">
      <w:pPr>
        <w:ind w:left="-5" w:right="0"/>
        <w:rPr>
          <w:bCs/>
        </w:rPr>
      </w:pPr>
      <w:r w:rsidRPr="00485B15">
        <w:rPr>
          <w:bCs/>
        </w:rPr>
        <w:lastRenderedPageBreak/>
        <w:t>Kultúrna prijateľnosť a adaptabilita sú súčasťou inkluzívneho prístupu v zmysle „rešpektovania výchovno-vzdelávacích potrieb a individuálnych osobitostí“ detí a žiakov. Ide pritom nielen o adaptabilitu vzdelávacích obsahov (napríklad v podobe minimálneho učebného výstupu potrebného na postup do ďalšieho cyklu vzdelávania), ale aj v podobe hodnotenia výkonov učiacich sa a nastavenia ich vzdelávacej cesty ako takej. Sem patria aj efektívne opatrenia na zabránenie predčasného ukončovania školskej dochádzky, zamedzenie neopodstatneného prepadávania, ale aj zabezpečenie riadnej školskej dochádzky a disciplíny.</w:t>
      </w:r>
    </w:p>
    <w:p w14:paraId="3EB56E91" w14:textId="77777777" w:rsidR="00485B15" w:rsidRPr="00485B15" w:rsidRDefault="00485B15" w:rsidP="00485B15">
      <w:pPr>
        <w:ind w:left="-5" w:right="0"/>
        <w:jc w:val="center"/>
        <w:rPr>
          <w:b/>
          <w:bCs/>
        </w:rPr>
      </w:pPr>
      <w:r w:rsidRPr="00485B15">
        <w:rPr>
          <w:b/>
          <w:bCs/>
        </w:rPr>
        <w:t>Článok 3</w:t>
      </w:r>
    </w:p>
    <w:p w14:paraId="515F8558" w14:textId="77777777" w:rsidR="00485B15" w:rsidRPr="00485B15" w:rsidRDefault="00485B15" w:rsidP="00485B15">
      <w:pPr>
        <w:ind w:left="-5" w:right="0"/>
        <w:jc w:val="center"/>
        <w:rPr>
          <w:b/>
          <w:bCs/>
        </w:rPr>
      </w:pPr>
      <w:r w:rsidRPr="00485B15">
        <w:rPr>
          <w:b/>
          <w:bCs/>
        </w:rPr>
        <w:t>Inklúzia</w:t>
      </w:r>
    </w:p>
    <w:p w14:paraId="588B648C" w14:textId="77777777" w:rsidR="00485B15" w:rsidRPr="00485B15" w:rsidRDefault="00485B15" w:rsidP="00485B15">
      <w:pPr>
        <w:ind w:left="-5" w:right="0"/>
        <w:rPr>
          <w:bCs/>
        </w:rPr>
      </w:pPr>
      <w:r w:rsidRPr="00485B15">
        <w:rPr>
          <w:bCs/>
        </w:rPr>
        <w:t>Inkluzívne vzdelávanie je také usporiadanie vzdelávania, ktoré by malo dosahovať zlepšenie výsledkov hlavne v okrajových oblastiach populačného rozptylu. Malo by zvýšiť úspešnosť tých žiakov, ktorých predpoklady sú najnižšie, ale tiež zvyšovať úspešnosť vzdelávania v kategórii nadaných a talentovaných žiakov.</w:t>
      </w:r>
    </w:p>
    <w:p w14:paraId="769D380E" w14:textId="77777777" w:rsidR="00485B15" w:rsidRPr="00485B15" w:rsidRDefault="00485B15" w:rsidP="00485B15">
      <w:pPr>
        <w:ind w:left="-5" w:right="0"/>
        <w:rPr>
          <w:b/>
        </w:rPr>
      </w:pPr>
      <w:r w:rsidRPr="00485B15">
        <w:rPr>
          <w:bCs/>
        </w:rPr>
        <w:t xml:space="preserve">Definícia inklúzie nemá presne vymedzené hranice a môže rovnako dobre znamenať to, že </w:t>
      </w:r>
      <w:r w:rsidRPr="00485B15">
        <w:rPr>
          <w:b/>
        </w:rPr>
        <w:t>„škola má poskytovať príležitosť na vzdelávanie pre všetky deti príslušného regiónu“</w:t>
      </w:r>
      <w:r w:rsidRPr="00485B15">
        <w:rPr>
          <w:bCs/>
        </w:rPr>
        <w:t xml:space="preserve"> až po chápanie, že </w:t>
      </w:r>
      <w:r w:rsidRPr="00485B15">
        <w:rPr>
          <w:b/>
        </w:rPr>
        <w:t>„všetky deti jedného veku majú byť sústredené v jednej triede podľa princípu pomerného rozdelenia etnických komunít v danom regióne“.</w:t>
      </w:r>
    </w:p>
    <w:p w14:paraId="087C7231" w14:textId="77777777" w:rsidR="00485B15" w:rsidRPr="00485B15" w:rsidRDefault="00485B15" w:rsidP="00485B15">
      <w:pPr>
        <w:ind w:left="-5" w:right="0"/>
        <w:rPr>
          <w:b/>
          <w:bCs/>
        </w:rPr>
      </w:pPr>
      <w:r w:rsidRPr="00485B15">
        <w:rPr>
          <w:b/>
          <w:bCs/>
        </w:rPr>
        <w:t>Inkluzívna škola, inkluzívna trieda, inkluzívna výchova a vzdelávanie</w:t>
      </w:r>
    </w:p>
    <w:p w14:paraId="29357414" w14:textId="77777777" w:rsidR="00485B15" w:rsidRPr="00485B15" w:rsidRDefault="00485B15" w:rsidP="00485B15">
      <w:pPr>
        <w:ind w:left="-5" w:right="0"/>
        <w:rPr>
          <w:bCs/>
        </w:rPr>
      </w:pPr>
      <w:r w:rsidRPr="00485B15">
        <w:rPr>
          <w:bCs/>
        </w:rPr>
        <w:t>Slovo inklúzia sa stalo u nás v ostatných rokoch naozaj módnym termínom, najmä v oblasti vzdelávania detí a žiakov zo sociálne znevýhodňujúceho prostredia. Stalo sa bežným javom, že sa už zavedené školské praktiky proste nazvali novým pomenovaním, čím sa chce dať najavo, že tá ktorá škola ide s dobou. V takomto prípade však skutočne ide iba o módu, ktorá bude zanedlho nahradená nejakým iným módnym termínom, aby všetko mohlo zasa ísť „po starom“.</w:t>
      </w:r>
    </w:p>
    <w:p w14:paraId="02B2F88A" w14:textId="77777777" w:rsidR="00485B15" w:rsidRPr="00485B15" w:rsidRDefault="00485B15" w:rsidP="00485B15">
      <w:pPr>
        <w:ind w:left="-5" w:right="0"/>
        <w:rPr>
          <w:bCs/>
        </w:rPr>
      </w:pPr>
      <w:r w:rsidRPr="00485B15">
        <w:rPr>
          <w:bCs/>
        </w:rPr>
        <w:t>V skutočnosti ale nejde o módu. Ide o znovuobjavenie starých pedagogických ideí, ktoré boli formulované už</w:t>
      </w:r>
      <w:r w:rsidRPr="00485B15">
        <w:rPr>
          <w:b/>
        </w:rPr>
        <w:t xml:space="preserve"> J. A. Komenským, že škola má byť dielňou ľudskosti a výučba má prebiehať z pohľadu žiaka akoby hrou. </w:t>
      </w:r>
      <w:r w:rsidRPr="00485B15">
        <w:rPr>
          <w:bCs/>
        </w:rPr>
        <w:t>Tieto myšlienky nadobúdajú v každej historickej dobe inú podobu. V súčasnosti majú podobu nazvanú inklúzia.</w:t>
      </w:r>
    </w:p>
    <w:p w14:paraId="26F56E5F" w14:textId="77777777" w:rsidR="00485B15" w:rsidRPr="00485B15" w:rsidRDefault="00485B15" w:rsidP="00485B15">
      <w:pPr>
        <w:ind w:left="-5" w:right="0"/>
        <w:rPr>
          <w:bCs/>
        </w:rPr>
      </w:pPr>
      <w:r w:rsidRPr="00485B15">
        <w:rPr>
          <w:bCs/>
        </w:rPr>
        <w:lastRenderedPageBreak/>
        <w:t>Podľa nej (bez ohľadu na to, či to tak volajú alebo nie) fungujú školské systémy vyspelého sveta. Ide o to, že „bežné školy by mali prijímať a vzdelávať všetkých žiakov bez ohľadu na ich fyzické, intelektuálne, emočné, sociálne, jazykové alebo iné podmienky“.</w:t>
      </w:r>
    </w:p>
    <w:p w14:paraId="3097FABF" w14:textId="77777777" w:rsidR="00485B15" w:rsidRPr="00485B15" w:rsidRDefault="00485B15" w:rsidP="00485B15">
      <w:pPr>
        <w:ind w:left="-5" w:right="0"/>
        <w:rPr>
          <w:bCs/>
        </w:rPr>
      </w:pPr>
      <w:r w:rsidRPr="00485B15">
        <w:rPr>
          <w:bCs/>
        </w:rPr>
        <w:t>Preto ak chceme hovoriť o vzdelávaní v inkluzívnej škole a triede, musí nám byť jasné, čo pod tým máme rozumieť.</w:t>
      </w:r>
    </w:p>
    <w:p w14:paraId="517B3FC3" w14:textId="77777777" w:rsidR="00485B15" w:rsidRPr="00485B15" w:rsidRDefault="00485B15" w:rsidP="00485B15">
      <w:pPr>
        <w:ind w:left="-5" w:right="0"/>
        <w:rPr>
          <w:bCs/>
        </w:rPr>
      </w:pPr>
      <w:r w:rsidRPr="00485B15">
        <w:rPr>
          <w:bCs/>
        </w:rPr>
        <w:t>Označenie inkluzívna škola ani tak nesúvisí s tým, akí sú tam žiaci, ale s tým, ako sú títo žiaci ako individuality v procese vzdelávania rešpektovaní. To znamená, že my môžeme hovoriť o inkluzívnej škole aj vtedy, ak je napríklad etnicky, jazykovo či kultúrne celkom homogénna. Ide totiž o to, do akej miery učitelia vo výchovno-vzdelávacom procese uplatňujú princípy individuálneho prístupu vzhľadom na rozvojové potreby konkrétnych žiakov.</w:t>
      </w:r>
    </w:p>
    <w:p w14:paraId="0049F589" w14:textId="77777777" w:rsidR="00485B15" w:rsidRDefault="00485B15" w:rsidP="00485B15">
      <w:pPr>
        <w:ind w:left="-5" w:right="0"/>
        <w:rPr>
          <w:bCs/>
        </w:rPr>
      </w:pPr>
      <w:r w:rsidRPr="00485B15">
        <w:rPr>
          <w:bCs/>
        </w:rPr>
        <w:t>Inklúzia nie je stav. Je to spôsob uskutočňovania výchovno-vzdelávacieho procesu, v ktorom učiteľ neustále uvažuje nad tým, ako vyhovieť rozvojovým potrebám jeho žiakov v sústavne sa meniacich podmienkach tak, aby predchádzal zlyhaniu týchto žiakov a aby zároveň zabezpečil ich plnohodnotný rozvoj v rámci ich individuálnych možností, ktoré sú u každého žiaka odlišné. Sú podmienené jednak osobnostnými charakteristikami žiakov a v nemalej miere aj sociálnym a kultúrnym vplyvom ich rodinného prostredia.</w:t>
      </w:r>
    </w:p>
    <w:p w14:paraId="305D2625" w14:textId="77777777" w:rsidR="0056001D" w:rsidRDefault="0056001D" w:rsidP="0056001D">
      <w:pPr>
        <w:ind w:left="-5" w:right="0"/>
        <w:jc w:val="center"/>
        <w:rPr>
          <w:b/>
          <w:bCs/>
        </w:rPr>
      </w:pPr>
      <w:r w:rsidRPr="0056001D">
        <w:rPr>
          <w:b/>
          <w:bCs/>
        </w:rPr>
        <w:t>Článok 4</w:t>
      </w:r>
    </w:p>
    <w:p w14:paraId="008D14B7" w14:textId="77777777" w:rsidR="0056001D" w:rsidRPr="0056001D" w:rsidRDefault="0056001D" w:rsidP="0056001D">
      <w:pPr>
        <w:ind w:left="-5" w:right="0"/>
        <w:jc w:val="center"/>
        <w:rPr>
          <w:b/>
          <w:bCs/>
        </w:rPr>
      </w:pPr>
      <w:r w:rsidRPr="0056001D">
        <w:rPr>
          <w:b/>
          <w:bCs/>
        </w:rPr>
        <w:t>Dokumenty školy</w:t>
      </w:r>
    </w:p>
    <w:p w14:paraId="3F6065FB" w14:textId="77777777" w:rsidR="0056001D" w:rsidRPr="0056001D" w:rsidRDefault="0056001D" w:rsidP="0056001D">
      <w:pPr>
        <w:ind w:left="-5" w:right="0"/>
        <w:rPr>
          <w:bCs/>
        </w:rPr>
      </w:pPr>
      <w:r w:rsidRPr="0056001D">
        <w:rPr>
          <w:bCs/>
        </w:rPr>
        <w:t>Dokumenty školy, ktoré zakotvujú rovnosť vo vzdelávaní, inkluzívne princípy, zákaz segregácie a diskriminácie a podporné opatrenia, sú najmä:</w:t>
      </w:r>
    </w:p>
    <w:p w14:paraId="70351C2F" w14:textId="77777777" w:rsidR="0056001D" w:rsidRPr="0056001D" w:rsidRDefault="0056001D" w:rsidP="0056001D">
      <w:pPr>
        <w:numPr>
          <w:ilvl w:val="0"/>
          <w:numId w:val="7"/>
        </w:numPr>
        <w:ind w:right="0"/>
        <w:rPr>
          <w:bCs/>
        </w:rPr>
      </w:pPr>
      <w:r w:rsidRPr="0056001D">
        <w:rPr>
          <w:bCs/>
        </w:rPr>
        <w:t>školský vzdelávací program,</w:t>
      </w:r>
    </w:p>
    <w:p w14:paraId="40871FC0" w14:textId="77777777" w:rsidR="0056001D" w:rsidRPr="0056001D" w:rsidRDefault="0056001D" w:rsidP="0056001D">
      <w:pPr>
        <w:numPr>
          <w:ilvl w:val="0"/>
          <w:numId w:val="7"/>
        </w:numPr>
        <w:ind w:right="0"/>
        <w:rPr>
          <w:bCs/>
        </w:rPr>
      </w:pPr>
      <w:r w:rsidRPr="0056001D">
        <w:rPr>
          <w:bCs/>
        </w:rPr>
        <w:t>školský poriadok,</w:t>
      </w:r>
    </w:p>
    <w:p w14:paraId="1AD9D927" w14:textId="77777777" w:rsidR="0056001D" w:rsidRPr="0056001D" w:rsidRDefault="0056001D" w:rsidP="0056001D">
      <w:pPr>
        <w:numPr>
          <w:ilvl w:val="0"/>
          <w:numId w:val="7"/>
        </w:numPr>
        <w:ind w:right="0"/>
        <w:rPr>
          <w:bCs/>
        </w:rPr>
      </w:pPr>
      <w:r w:rsidRPr="0056001D">
        <w:rPr>
          <w:bCs/>
        </w:rPr>
        <w:t>webová stránka školy,</w:t>
      </w:r>
    </w:p>
    <w:p w14:paraId="326C5CD3" w14:textId="77777777" w:rsidR="0056001D" w:rsidRPr="0056001D" w:rsidRDefault="0056001D" w:rsidP="0056001D">
      <w:pPr>
        <w:numPr>
          <w:ilvl w:val="0"/>
          <w:numId w:val="7"/>
        </w:numPr>
        <w:ind w:right="0"/>
        <w:rPr>
          <w:bCs/>
        </w:rPr>
      </w:pPr>
      <w:r w:rsidRPr="0056001D">
        <w:rPr>
          <w:bCs/>
        </w:rPr>
        <w:t>pracovný poriadok v oblasti pracovnoprávnych vzťahov.</w:t>
      </w:r>
    </w:p>
    <w:p w14:paraId="0231D237" w14:textId="77777777" w:rsidR="0056001D" w:rsidRPr="0056001D" w:rsidRDefault="0056001D" w:rsidP="0056001D">
      <w:pPr>
        <w:ind w:left="-5" w:right="0"/>
        <w:rPr>
          <w:bCs/>
        </w:rPr>
      </w:pPr>
      <w:r w:rsidRPr="0056001D">
        <w:rPr>
          <w:bCs/>
        </w:rPr>
        <w:t>Špeciálnymi neverejnými dokumentami, ktoré slúžia na individuálnu podporu žiakov, sú najmä:</w:t>
      </w:r>
    </w:p>
    <w:p w14:paraId="4C5A2700" w14:textId="77777777" w:rsidR="0056001D" w:rsidRPr="0056001D" w:rsidRDefault="0056001D" w:rsidP="0056001D">
      <w:pPr>
        <w:numPr>
          <w:ilvl w:val="0"/>
          <w:numId w:val="8"/>
        </w:numPr>
        <w:ind w:right="0"/>
        <w:rPr>
          <w:bCs/>
        </w:rPr>
      </w:pPr>
      <w:r w:rsidRPr="0056001D">
        <w:rPr>
          <w:bCs/>
        </w:rPr>
        <w:t>podporné opatrenia,</w:t>
      </w:r>
    </w:p>
    <w:p w14:paraId="39970C7C" w14:textId="77777777" w:rsidR="0056001D" w:rsidRDefault="0056001D" w:rsidP="0056001D">
      <w:pPr>
        <w:ind w:left="-5" w:right="0"/>
        <w:jc w:val="center"/>
        <w:rPr>
          <w:b/>
          <w:bCs/>
        </w:rPr>
      </w:pPr>
    </w:p>
    <w:p w14:paraId="72C6C796" w14:textId="77777777" w:rsidR="0056001D" w:rsidRPr="0056001D" w:rsidRDefault="0056001D" w:rsidP="0056001D">
      <w:pPr>
        <w:ind w:left="-5" w:right="0"/>
        <w:jc w:val="center"/>
        <w:rPr>
          <w:b/>
          <w:bCs/>
        </w:rPr>
      </w:pPr>
      <w:r w:rsidRPr="0056001D">
        <w:rPr>
          <w:b/>
          <w:bCs/>
        </w:rPr>
        <w:t>Školský vzdelávací program (</w:t>
      </w:r>
      <w:proofErr w:type="spellStart"/>
      <w:r w:rsidRPr="0056001D">
        <w:rPr>
          <w:b/>
          <w:bCs/>
        </w:rPr>
        <w:t>ŠkVP</w:t>
      </w:r>
      <w:proofErr w:type="spellEnd"/>
      <w:r w:rsidRPr="0056001D">
        <w:rPr>
          <w:b/>
          <w:bCs/>
        </w:rPr>
        <w:t>)</w:t>
      </w:r>
    </w:p>
    <w:p w14:paraId="4EE3BDD4" w14:textId="77777777" w:rsidR="0056001D" w:rsidRPr="0056001D" w:rsidRDefault="0056001D" w:rsidP="0056001D">
      <w:pPr>
        <w:ind w:left="-5" w:right="0"/>
        <w:rPr>
          <w:bCs/>
        </w:rPr>
      </w:pPr>
      <w:r w:rsidRPr="0056001D">
        <w:rPr>
          <w:bCs/>
        </w:rPr>
        <w:t>Školský vzdelávací program je najdôležitejší a najkomplexnejší verejný dokument o živote školy. Celé desaťročia bola základná škola vnímaná najmä ako pedagogická inštitúcia zameraná na učenie sa čítať, písať a počítať. Výchova bola skôr okrajová popri vyučovaní predmetov.</w:t>
      </w:r>
    </w:p>
    <w:p w14:paraId="11F63D11" w14:textId="77777777" w:rsidR="0056001D" w:rsidRDefault="0056001D" w:rsidP="0056001D">
      <w:pPr>
        <w:ind w:left="-5" w:right="0"/>
        <w:rPr>
          <w:bCs/>
        </w:rPr>
      </w:pPr>
      <w:r w:rsidRPr="0056001D">
        <w:rPr>
          <w:bCs/>
        </w:rPr>
        <w:t xml:space="preserve">V posledných rokoch, vplyvom komplexnejšieho pohľadu na vzdelávanie, sa nanovo obnovuje a revitalizuje aj podporná úloha školy zameraná na rozvoj </w:t>
      </w:r>
      <w:r w:rsidRPr="0056001D">
        <w:rPr>
          <w:b/>
          <w:bCs/>
        </w:rPr>
        <w:t>„celého“ človeka</w:t>
      </w:r>
      <w:r w:rsidRPr="0056001D">
        <w:rPr>
          <w:bCs/>
        </w:rPr>
        <w:t xml:space="preserve">. </w:t>
      </w:r>
    </w:p>
    <w:p w14:paraId="2E9180DB" w14:textId="77777777" w:rsidR="00031463" w:rsidRDefault="00D216C9" w:rsidP="00D216C9">
      <w:pPr>
        <w:ind w:left="-5" w:right="0"/>
        <w:jc w:val="left"/>
      </w:pPr>
      <w:r>
        <w:t xml:space="preserve">Veľmi dôležitou povinnou súčasťou </w:t>
      </w:r>
      <w:proofErr w:type="spellStart"/>
      <w:r>
        <w:t>ŠkVP</w:t>
      </w:r>
      <w:proofErr w:type="spellEnd"/>
      <w:r>
        <w:t xml:space="preserve"> je aj systém hodnotenia žiakov. Rovnako dôležité je využívanie sebahodnotenia, sebareflexie a spätnej väzby (nie každú prácu je potrebné známkovať, mnohé, najmä priebežné hodnotenie, sa dá z veľkej časti postaviť na reflexii so žiakmi a viesť ich tak k slobode a zodpovednosti).</w:t>
      </w:r>
      <w:r>
        <w:br/>
        <w:t xml:space="preserve">Učitelia môžu viacero systémov hodnotenia vzájomne prepájať a zjednocovať, aby podpora žiakov nebola špecifikom iba jedného predmetu. </w:t>
      </w:r>
    </w:p>
    <w:p w14:paraId="1F091692" w14:textId="77777777" w:rsidR="00031463" w:rsidRDefault="00974BDB">
      <w:pPr>
        <w:pStyle w:val="Nadpis2"/>
        <w:spacing w:after="117"/>
        <w:ind w:left="-5" w:right="0"/>
        <w:jc w:val="both"/>
      </w:pPr>
      <w:r>
        <w:t xml:space="preserve">Školský poriadok </w:t>
      </w:r>
    </w:p>
    <w:p w14:paraId="3AB39DAE" w14:textId="77777777" w:rsidR="00D216C9" w:rsidRDefault="00D216C9" w:rsidP="00D216C9">
      <w:pPr>
        <w:ind w:left="-5" w:right="0"/>
      </w:pPr>
      <w:r>
        <w:t>Pre žiakov a rodičov je veľmi dôležitý, pretože určuje základné pravidlá fungovania v školskom prostredí.</w:t>
      </w:r>
    </w:p>
    <w:p w14:paraId="17B4F05C" w14:textId="77777777" w:rsidR="00031463" w:rsidRDefault="00D216C9" w:rsidP="00283699">
      <w:pPr>
        <w:ind w:left="-5" w:right="0"/>
      </w:pPr>
      <w:r>
        <w:t xml:space="preserve">Do školského poriadku sú zakotvené pravidlá správania, aby rodičia i žiaci vnímali tieto pravidlá ako súčasť bežného života školy, poznali základné legislatívne princípy jej fungovania a základné činnosti, ktoré škola vykonáva na podporu všetkých žiakov. </w:t>
      </w:r>
    </w:p>
    <w:p w14:paraId="1375AC3A" w14:textId="77777777" w:rsidR="00031463" w:rsidRDefault="00974BDB">
      <w:pPr>
        <w:pStyle w:val="Nadpis2"/>
        <w:spacing w:after="117"/>
        <w:ind w:left="-5" w:right="0"/>
        <w:jc w:val="both"/>
      </w:pPr>
      <w:r>
        <w:t xml:space="preserve">Individuálny vzdelávací program (IVP) </w:t>
      </w:r>
    </w:p>
    <w:p w14:paraId="245CE664" w14:textId="77777777" w:rsidR="00283699" w:rsidRPr="00283699" w:rsidRDefault="00283699" w:rsidP="00283699">
      <w:pPr>
        <w:spacing w:after="1"/>
        <w:ind w:left="-5" w:right="0"/>
        <w:rPr>
          <w:bCs/>
        </w:rPr>
      </w:pPr>
      <w:r w:rsidRPr="00283699">
        <w:rPr>
          <w:b/>
        </w:rPr>
        <w:t xml:space="preserve">Zákon formu a obsah IVP vôbec nestanovuje. </w:t>
      </w:r>
      <w:r w:rsidRPr="00283699">
        <w:rPr>
          <w:bCs/>
        </w:rPr>
        <w:t>Ak ide o podporné opatrenia, tie sú súčasťou IVP a nerobí sa k nim samostatná dokumentácia. Zároveň nie je potrebné zaznamenávať podporné opatrenia do katalógového listu žiaka ani do vysvedčenia.</w:t>
      </w:r>
      <w:r w:rsidRPr="00283699">
        <w:rPr>
          <w:bCs/>
        </w:rPr>
        <w:br/>
        <w:t>Dokumentáciu k žiakom so ŠVVP alebo s PO je vhodné uchovávať v uzamykateľnej skrini v priestoroch školského podporného tímu.</w:t>
      </w:r>
    </w:p>
    <w:p w14:paraId="1AFF6272" w14:textId="77777777" w:rsidR="00283699" w:rsidRDefault="00283699" w:rsidP="00283699">
      <w:pPr>
        <w:spacing w:after="1"/>
        <w:ind w:left="-5" w:right="0"/>
        <w:rPr>
          <w:bCs/>
        </w:rPr>
      </w:pPr>
      <w:r w:rsidRPr="00283699">
        <w:rPr>
          <w:bCs/>
        </w:rPr>
        <w:t>Všetky dokumenty školy by mali byť odrazom žitého učiaceho sa spoločenstva. Mali by formálne, legislatívne a metodicky odrážať kultúru hlbokej demokracie a humanizmu školy, kde sa každý človek počíta.</w:t>
      </w:r>
    </w:p>
    <w:p w14:paraId="52707A44" w14:textId="77777777" w:rsidR="00420108" w:rsidRPr="00283699" w:rsidRDefault="00420108" w:rsidP="00283699">
      <w:pPr>
        <w:spacing w:after="1"/>
        <w:ind w:left="-5" w:right="0"/>
        <w:rPr>
          <w:bCs/>
        </w:rPr>
      </w:pPr>
    </w:p>
    <w:p w14:paraId="400F6E27" w14:textId="77777777" w:rsidR="00031463" w:rsidRDefault="00974BDB">
      <w:pPr>
        <w:spacing w:after="116" w:line="259" w:lineRule="auto"/>
        <w:ind w:right="4"/>
        <w:jc w:val="center"/>
      </w:pPr>
      <w:r>
        <w:rPr>
          <w:b/>
          <w:i/>
        </w:rPr>
        <w:lastRenderedPageBreak/>
        <w:t xml:space="preserve">Článok 5 </w:t>
      </w:r>
    </w:p>
    <w:p w14:paraId="2B0193C7" w14:textId="77777777" w:rsidR="00031463" w:rsidRDefault="00974BDB">
      <w:pPr>
        <w:pStyle w:val="Nadpis2"/>
        <w:spacing w:after="275"/>
        <w:ind w:right="9"/>
      </w:pPr>
      <w:proofErr w:type="spellStart"/>
      <w:r>
        <w:t>Desegregačný</w:t>
      </w:r>
      <w:proofErr w:type="spellEnd"/>
      <w:r>
        <w:t xml:space="preserve"> a inkluzívny plán v prostredí školy </w:t>
      </w:r>
    </w:p>
    <w:p w14:paraId="768F0950" w14:textId="77777777" w:rsidR="00031463" w:rsidRDefault="00974BDB">
      <w:pPr>
        <w:numPr>
          <w:ilvl w:val="0"/>
          <w:numId w:val="2"/>
        </w:numPr>
        <w:spacing w:after="277" w:line="259" w:lineRule="auto"/>
        <w:ind w:right="0" w:hanging="227"/>
      </w:pPr>
      <w:r>
        <w:rPr>
          <w:i/>
        </w:rPr>
        <w:t xml:space="preserve">Inkluzívna kultúra školy.  </w:t>
      </w:r>
    </w:p>
    <w:p w14:paraId="686541F7" w14:textId="77777777" w:rsidR="00283699" w:rsidRDefault="00283699" w:rsidP="00283699">
      <w:pPr>
        <w:ind w:left="-5" w:right="0"/>
      </w:pPr>
      <w:r>
        <w:t>Ide o to, že všetci pedagogickí aj nepedagogickí zamestnanci školy zdieľajú presvedčenie, že škola je inštitúcia, ktorej úlohou je rozvíjať všetkých žiakov bez ohľadu na ich individuálne predpoklady, sociálny či etnický pôvod alebo kultúru, ktorú si so sebou prinášajú z domu.</w:t>
      </w:r>
    </w:p>
    <w:p w14:paraId="0FA07CF8" w14:textId="77777777" w:rsidR="00031463" w:rsidRDefault="00283699" w:rsidP="00283699">
      <w:pPr>
        <w:ind w:left="-5" w:right="0"/>
      </w:pPr>
      <w:r>
        <w:t xml:space="preserve">Učitelia považujú odlišnosti medzi žiakmi, ktorí sú im zverení do pedagogickej starostlivosti, nie za prekážku svojho profesijného pôsobenia, ale za jeho predpoklad.   </w:t>
      </w:r>
    </w:p>
    <w:p w14:paraId="1AE70093" w14:textId="77777777" w:rsidR="00283699" w:rsidRPr="00283699" w:rsidRDefault="00283699" w:rsidP="00283699">
      <w:pPr>
        <w:ind w:left="-5" w:right="0"/>
        <w:rPr>
          <w:i/>
          <w:iCs/>
        </w:rPr>
      </w:pPr>
      <w:r w:rsidRPr="00283699">
        <w:rPr>
          <w:i/>
          <w:iCs/>
        </w:rPr>
        <w:t>2. Pôsobenie inkluzívneho tímu (pedagogickí a odborní zamestnanci)</w:t>
      </w:r>
    </w:p>
    <w:p w14:paraId="2B0DD002" w14:textId="77777777" w:rsidR="00283699" w:rsidRDefault="00283699" w:rsidP="00283699">
      <w:pPr>
        <w:ind w:left="-5" w:right="0"/>
      </w:pPr>
      <w:r w:rsidRPr="00283699">
        <w:t>V tradíciách nášho školstva nie je veľa miesta pre myšlienky inkluzívnej výchovy a vzdelávania. Preto je prirodzené, že na zavedenie koncepcie inkluzívnej výchovy a vzdelávania je potrebné vytvoriť primerané organizačné podmienky.</w:t>
      </w:r>
      <w:r w:rsidRPr="00283699">
        <w:br/>
        <w:t>Členmi inkluzívneho tímu sú učitelia, vychovávatelia, asistenti učiteľa</w:t>
      </w:r>
      <w:r>
        <w:t>.</w:t>
      </w:r>
      <w:r w:rsidRPr="00283699">
        <w:t xml:space="preserve"> Inkluzívny tím nevytvára iba potrebné organizačné podmienky pre inkluzívnu výchovu a vzdelávanie, ale na tomto procese sa aj aktívne podieľa.</w:t>
      </w:r>
    </w:p>
    <w:p w14:paraId="4BF1B6F1" w14:textId="77777777" w:rsidR="00283699" w:rsidRPr="00283699" w:rsidRDefault="00283699" w:rsidP="00283699">
      <w:pPr>
        <w:ind w:left="-5" w:right="0"/>
      </w:pPr>
    </w:p>
    <w:p w14:paraId="130409B4" w14:textId="77777777" w:rsidR="00031463" w:rsidRDefault="00974BDB">
      <w:pPr>
        <w:numPr>
          <w:ilvl w:val="0"/>
          <w:numId w:val="3"/>
        </w:numPr>
        <w:spacing w:line="358" w:lineRule="auto"/>
        <w:ind w:right="0"/>
      </w:pPr>
      <w:r>
        <w:rPr>
          <w:i/>
        </w:rPr>
        <w:t xml:space="preserve">Súlad pedagogických a odborných postupov, ktoré sa v škole uplatňujú na základe odporúčaní a názorného príkladu členov inkluzívneho tímu.  </w:t>
      </w:r>
    </w:p>
    <w:p w14:paraId="1CF5032D" w14:textId="77777777" w:rsidR="00283699" w:rsidRDefault="00283699" w:rsidP="00283699">
      <w:pPr>
        <w:ind w:left="-5" w:right="0"/>
      </w:pPr>
      <w:r>
        <w:t xml:space="preserve">Všetci odborne zainteresovaní zamestnanci školy sú oboznámení s metodikou práce svojich kolegov, pedagógov i </w:t>
      </w:r>
      <w:proofErr w:type="spellStart"/>
      <w:r>
        <w:t>nepedagógov</w:t>
      </w:r>
      <w:proofErr w:type="spellEnd"/>
      <w:r>
        <w:t>, a svoje odborné pôsobenie realizujú tak, aby ich postupy boli vo vzťahu k postupom kolegov komplementárne, teda aby sa navzájom dopĺňali.</w:t>
      </w:r>
    </w:p>
    <w:p w14:paraId="7E87A571" w14:textId="77777777" w:rsidR="00283699" w:rsidRDefault="00283699" w:rsidP="00283699">
      <w:pPr>
        <w:ind w:left="-5" w:right="0"/>
      </w:pPr>
      <w:r>
        <w:t>Na dosiahnutie tohto cieľa sa konajú pravidelné pracovné stretnutia, na ktorých si kolegovia navzájom predstavujú svoje pracovné a pedagogické postupy, hľadajú spoločné a vzájomne sa dopĺňajúce komponenty, hovoria o problémoch a ich možných riešeniach.</w:t>
      </w:r>
    </w:p>
    <w:p w14:paraId="34E2E6EC" w14:textId="77777777" w:rsidR="00283699" w:rsidRDefault="00283699" w:rsidP="00283699">
      <w:pPr>
        <w:ind w:left="-5" w:right="0"/>
      </w:pPr>
      <w:r>
        <w:t>Odovzdávajú si skúsenosti dobrej praxe a informácie o svojich žiakoch a ich špecifikách, ktoré je potrebné zohľadňovať.</w:t>
      </w:r>
    </w:p>
    <w:p w14:paraId="7FC1C3C6" w14:textId="77777777" w:rsidR="00031463" w:rsidRDefault="00283699" w:rsidP="00283699">
      <w:pPr>
        <w:ind w:left="-5" w:right="0"/>
      </w:pPr>
      <w:r>
        <w:lastRenderedPageBreak/>
        <w:t xml:space="preserve">Vzájomné hospitácie sú prirodzenou súčasťou nielen ich </w:t>
      </w:r>
      <w:proofErr w:type="spellStart"/>
      <w:r>
        <w:t>autoevalvačnej</w:t>
      </w:r>
      <w:proofErr w:type="spellEnd"/>
      <w:r>
        <w:t xml:space="preserve"> práce, ale aj prostriedkom vzájomného zosúlaďovania ich pedagogického a odborného pôsobenia. </w:t>
      </w:r>
    </w:p>
    <w:p w14:paraId="47806D2E" w14:textId="77777777" w:rsidR="00031463" w:rsidRDefault="00974BDB">
      <w:pPr>
        <w:numPr>
          <w:ilvl w:val="0"/>
          <w:numId w:val="3"/>
        </w:numPr>
        <w:spacing w:line="358" w:lineRule="auto"/>
        <w:ind w:right="0"/>
      </w:pPr>
      <w:r>
        <w:rPr>
          <w:i/>
        </w:rPr>
        <w:t xml:space="preserve">Koncepcia výučby ako spôsob uplatňovania princípov inkluzívnej výchovy a vzdelávania v reálnom prostredí školy. </w:t>
      </w:r>
    </w:p>
    <w:p w14:paraId="24E94711" w14:textId="77777777" w:rsidR="00031463" w:rsidRDefault="00283699" w:rsidP="00283699">
      <w:pPr>
        <w:ind w:left="-5" w:right="0"/>
      </w:pPr>
      <w:r>
        <w:t xml:space="preserve">Táto oblasť tvorí jadro a dáva zmysel inkluzívnej výchove a vzdelávaniu. Škola môže plniť všetky organizačné ukazovatele uplatňovania inklúzie, kým sa však tieto ukazovatele nepremietnu do procesov, ktoré prebiehajú v triedach, nemožno hovoriť o dosiahnutí cieľov. Je to oblasť, na ktorej mimoriadne záleží, no dosiahnuť reálnu zmenu smerom k inklúzii je najnáročnejšie. Inkluzívna koncepcia výučby podstatne mení zakorenené tradície frontálneho vyučovania smerom k postupom rešpektujúcim princípy individuálneho prístupu. </w:t>
      </w:r>
    </w:p>
    <w:p w14:paraId="24582A59" w14:textId="77777777" w:rsidR="00031463" w:rsidRDefault="00974BDB">
      <w:pPr>
        <w:spacing w:after="275" w:line="259" w:lineRule="auto"/>
        <w:ind w:left="0" w:right="0" w:firstLine="0"/>
        <w:jc w:val="left"/>
      </w:pPr>
      <w:r>
        <w:rPr>
          <w:i/>
          <w:u w:val="single" w:color="000000"/>
        </w:rPr>
        <w:t xml:space="preserve">Ciele </w:t>
      </w:r>
      <w:proofErr w:type="spellStart"/>
      <w:r>
        <w:rPr>
          <w:i/>
          <w:u w:val="single" w:color="000000"/>
        </w:rPr>
        <w:t>desegregačného</w:t>
      </w:r>
      <w:proofErr w:type="spellEnd"/>
      <w:r>
        <w:rPr>
          <w:i/>
          <w:u w:val="single" w:color="000000"/>
        </w:rPr>
        <w:t xml:space="preserve"> a inkluzívneho plánu školy</w:t>
      </w:r>
    </w:p>
    <w:p w14:paraId="655D63A2" w14:textId="77777777" w:rsidR="00031463" w:rsidRDefault="00974BDB">
      <w:pPr>
        <w:spacing w:after="161" w:line="358" w:lineRule="auto"/>
        <w:ind w:left="571" w:right="0" w:hanging="432"/>
      </w:pPr>
      <w:r>
        <w:rPr>
          <w:b/>
        </w:rPr>
        <w:t xml:space="preserve">Vytvoriť maximálne priaznivé podmienky na vzdelávanie, osobnostný a sociálny rast detí  a žiakov s cieľom ich sociálnej inklúzie a osobnostnej  integrity. </w:t>
      </w:r>
    </w:p>
    <w:p w14:paraId="4AC42CBF" w14:textId="77777777" w:rsidR="00283699" w:rsidRDefault="00283699" w:rsidP="00283699">
      <w:pPr>
        <w:spacing w:after="275" w:line="259" w:lineRule="auto"/>
        <w:ind w:left="-5" w:right="0"/>
      </w:pPr>
      <w:r>
        <w:t>Tento všeobecný cieľ je konkretizovaný do čiastkových cieľov:</w:t>
      </w:r>
    </w:p>
    <w:p w14:paraId="62F56EA1" w14:textId="77777777" w:rsidR="00283699" w:rsidRDefault="00283699" w:rsidP="00283699">
      <w:pPr>
        <w:spacing w:after="275" w:line="259" w:lineRule="auto"/>
        <w:ind w:left="-5" w:right="0"/>
      </w:pPr>
      <w:r>
        <w:t>a) Stimulovať a akcelerovať vzdelávanie žiakov, rozvíjať ich poznávacie (kognitívne) funkcie, myslenie a rozhodovanie.</w:t>
      </w:r>
    </w:p>
    <w:p w14:paraId="7CA20F1F" w14:textId="77777777" w:rsidR="00283699" w:rsidRDefault="00283699" w:rsidP="00283699">
      <w:pPr>
        <w:spacing w:after="275" w:line="259" w:lineRule="auto"/>
        <w:ind w:left="-5" w:right="0"/>
      </w:pPr>
      <w:r>
        <w:t>b) Rozvíjať u nich sociálne kompetencie pre toleranciu, spoluprácu, konštruktívne riešenie konfliktov a spolunažívanie s inými.</w:t>
      </w:r>
    </w:p>
    <w:p w14:paraId="702B0308" w14:textId="77777777" w:rsidR="00031463" w:rsidRDefault="00283699" w:rsidP="00283699">
      <w:pPr>
        <w:spacing w:after="275" w:line="259" w:lineRule="auto"/>
        <w:ind w:left="-5" w:right="0"/>
      </w:pPr>
      <w:r>
        <w:t xml:space="preserve">c) Redukovať a eliminovať predsudky a nesprávne postoje, odstraňovať bariéry ich kognitívneho, sociálneho a osobnostného rozvoja. </w:t>
      </w:r>
    </w:p>
    <w:p w14:paraId="3D2043F7" w14:textId="77777777" w:rsidR="000C5283" w:rsidRDefault="000C5283" w:rsidP="00283699">
      <w:pPr>
        <w:spacing w:after="275" w:line="259" w:lineRule="auto"/>
        <w:ind w:left="-5" w:right="0"/>
      </w:pPr>
    </w:p>
    <w:p w14:paraId="19DC3087" w14:textId="77777777" w:rsidR="000C5283" w:rsidRDefault="000C5283" w:rsidP="00283699">
      <w:pPr>
        <w:spacing w:after="275" w:line="259" w:lineRule="auto"/>
        <w:ind w:left="-5" w:right="0"/>
      </w:pPr>
    </w:p>
    <w:p w14:paraId="2F3E5DB2" w14:textId="77777777" w:rsidR="000C5283" w:rsidRDefault="000C5283" w:rsidP="00283699">
      <w:pPr>
        <w:spacing w:after="275" w:line="259" w:lineRule="auto"/>
        <w:ind w:left="-5" w:right="0"/>
      </w:pPr>
    </w:p>
    <w:p w14:paraId="069D476A" w14:textId="77777777" w:rsidR="000C5283" w:rsidRDefault="000C5283" w:rsidP="00283699">
      <w:pPr>
        <w:spacing w:after="275" w:line="259" w:lineRule="auto"/>
        <w:ind w:left="-5" w:right="0"/>
      </w:pPr>
    </w:p>
    <w:p w14:paraId="5AC96780" w14:textId="77777777" w:rsidR="000C5283" w:rsidRDefault="000C5283" w:rsidP="00283699">
      <w:pPr>
        <w:spacing w:after="275" w:line="259" w:lineRule="auto"/>
        <w:ind w:left="-5" w:right="0"/>
      </w:pPr>
    </w:p>
    <w:p w14:paraId="7B9489F7" w14:textId="77777777" w:rsidR="000C5283" w:rsidRDefault="000C5283" w:rsidP="00283699">
      <w:pPr>
        <w:spacing w:after="275" w:line="259" w:lineRule="auto"/>
        <w:ind w:left="-5" w:right="0"/>
      </w:pPr>
    </w:p>
    <w:p w14:paraId="0C7DBB39" w14:textId="77777777" w:rsidR="000C5283" w:rsidRDefault="000C5283" w:rsidP="00283699">
      <w:pPr>
        <w:spacing w:after="275" w:line="259" w:lineRule="auto"/>
        <w:ind w:left="-5" w:right="0"/>
      </w:pPr>
    </w:p>
    <w:p w14:paraId="4E84422A" w14:textId="77777777" w:rsidR="00031463" w:rsidRDefault="00974BDB">
      <w:pPr>
        <w:spacing w:after="116" w:line="259" w:lineRule="auto"/>
        <w:ind w:right="4"/>
        <w:jc w:val="center"/>
      </w:pPr>
      <w:r>
        <w:rPr>
          <w:b/>
          <w:i/>
        </w:rPr>
        <w:lastRenderedPageBreak/>
        <w:t xml:space="preserve">Článok 6 </w:t>
      </w:r>
    </w:p>
    <w:p w14:paraId="42EB1189" w14:textId="77777777" w:rsidR="00031463" w:rsidRDefault="00974BDB">
      <w:pPr>
        <w:pStyle w:val="Nadpis2"/>
        <w:spacing w:after="305"/>
        <w:ind w:right="5"/>
      </w:pPr>
      <w:r>
        <w:t xml:space="preserve">Záverečné ustanovenia </w:t>
      </w:r>
    </w:p>
    <w:p w14:paraId="4F0C8B29" w14:textId="77777777" w:rsidR="00A17E34" w:rsidRDefault="00A17E34" w:rsidP="00A17E34">
      <w:pPr>
        <w:pStyle w:val="Odsekzoznamu"/>
        <w:numPr>
          <w:ilvl w:val="1"/>
          <w:numId w:val="7"/>
        </w:numPr>
      </w:pPr>
      <w:proofErr w:type="spellStart"/>
      <w:r>
        <w:t>Desegregačný</w:t>
      </w:r>
      <w:proofErr w:type="spellEnd"/>
      <w:r>
        <w:t xml:space="preserve"> a inkluzívny plán školy bol predložený na pedagogickej rade </w:t>
      </w:r>
    </w:p>
    <w:p w14:paraId="2F438E4B" w14:textId="77777777" w:rsidR="00A17E34" w:rsidRDefault="00A17E34" w:rsidP="00063F21">
      <w:pPr>
        <w:ind w:left="382" w:firstLine="698"/>
      </w:pPr>
      <w:r>
        <w:t xml:space="preserve">dňa </w:t>
      </w:r>
      <w:r w:rsidR="006F244B">
        <w:t>25</w:t>
      </w:r>
      <w:r>
        <w:t xml:space="preserve">. </w:t>
      </w:r>
      <w:r w:rsidR="006F244B">
        <w:t>8</w:t>
      </w:r>
      <w:r>
        <w:t>. 2025.</w:t>
      </w:r>
    </w:p>
    <w:p w14:paraId="4DB6AA63" w14:textId="77777777" w:rsidR="00A17E34" w:rsidRDefault="00A17E34" w:rsidP="00A17E34">
      <w:pPr>
        <w:pStyle w:val="Odsekzoznamu"/>
        <w:numPr>
          <w:ilvl w:val="1"/>
          <w:numId w:val="7"/>
        </w:numPr>
      </w:pPr>
      <w:r>
        <w:t>Tento plán nadobúda účinnosť dňa 1. septembra 2025.</w:t>
      </w:r>
    </w:p>
    <w:p w14:paraId="73B37B51" w14:textId="77777777" w:rsidR="00A17E34" w:rsidRPr="00A17E34" w:rsidRDefault="00A17E34" w:rsidP="00A17E34">
      <w:pPr>
        <w:pStyle w:val="Odsekzoznamu"/>
        <w:numPr>
          <w:ilvl w:val="1"/>
          <w:numId w:val="7"/>
        </w:numPr>
      </w:pPr>
      <w:r>
        <w:t>Tento plán je súčasť</w:t>
      </w:r>
      <w:r w:rsidR="00420108">
        <w:t>ou dokumentácie Základnej školy HARHAJ</w:t>
      </w:r>
      <w:r>
        <w:t>.</w:t>
      </w:r>
    </w:p>
    <w:p w14:paraId="478ECD15" w14:textId="77777777" w:rsidR="00031463" w:rsidRDefault="00031463">
      <w:pPr>
        <w:spacing w:after="277" w:line="259" w:lineRule="auto"/>
        <w:ind w:left="1440" w:right="0" w:firstLine="0"/>
        <w:jc w:val="left"/>
      </w:pPr>
    </w:p>
    <w:p w14:paraId="4C5E85CE" w14:textId="77777777" w:rsidR="00031463" w:rsidRDefault="00063F21" w:rsidP="00A17E34">
      <w:pPr>
        <w:spacing w:after="275" w:line="259" w:lineRule="auto"/>
        <w:ind w:left="0" w:right="0" w:firstLine="0"/>
      </w:pPr>
      <w:r>
        <w:t xml:space="preserve">V Harhaji </w:t>
      </w:r>
      <w:r w:rsidR="00A17E34">
        <w:t xml:space="preserve"> dňa </w:t>
      </w:r>
      <w:r w:rsidR="00420108">
        <w:t>25.8</w:t>
      </w:r>
      <w:r w:rsidR="00A17E34">
        <w:t xml:space="preserve">.2025                                                       Mgr. </w:t>
      </w:r>
      <w:r>
        <w:t>Dana Vašková</w:t>
      </w:r>
    </w:p>
    <w:p w14:paraId="61400E3E" w14:textId="77777777" w:rsidR="00A17E34" w:rsidRDefault="00A17E34" w:rsidP="00A17E34">
      <w:pPr>
        <w:spacing w:after="275" w:line="259" w:lineRule="auto"/>
        <w:ind w:left="0" w:right="0" w:firstLine="0"/>
      </w:pPr>
      <w:r>
        <w:tab/>
      </w:r>
      <w:r>
        <w:tab/>
      </w:r>
      <w:r>
        <w:tab/>
      </w:r>
      <w:r>
        <w:tab/>
      </w:r>
      <w:r>
        <w:tab/>
      </w:r>
      <w:r>
        <w:tab/>
      </w:r>
      <w:r>
        <w:tab/>
      </w:r>
      <w:r>
        <w:tab/>
        <w:t>riaditeľka ZŠ</w:t>
      </w:r>
    </w:p>
    <w:sectPr w:rsidR="00A17E34" w:rsidSect="000D1AE0">
      <w:pgSz w:w="11906" w:h="16838"/>
      <w:pgMar w:top="1455" w:right="1413" w:bottom="1619"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A6501"/>
    <w:multiLevelType w:val="multilevel"/>
    <w:tmpl w:val="3714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EC7512"/>
    <w:multiLevelType w:val="multilevel"/>
    <w:tmpl w:val="A5C062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D468A"/>
    <w:multiLevelType w:val="hybridMultilevel"/>
    <w:tmpl w:val="C852A788"/>
    <w:lvl w:ilvl="0" w:tplc="AC7A5D94">
      <w:start w:val="1"/>
      <w:numFmt w:val="decimal"/>
      <w:lvlText w:val="%1."/>
      <w:lvlJc w:val="left"/>
      <w:pPr>
        <w:ind w:left="227"/>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1" w:tplc="51D49422">
      <w:start w:val="1"/>
      <w:numFmt w:val="lowerLetter"/>
      <w:lvlText w:val="%2"/>
      <w:lvlJc w:val="left"/>
      <w:pPr>
        <w:ind w:left="108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2" w:tplc="6DA609D4">
      <w:start w:val="1"/>
      <w:numFmt w:val="lowerRoman"/>
      <w:lvlText w:val="%3"/>
      <w:lvlJc w:val="left"/>
      <w:pPr>
        <w:ind w:left="180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3" w:tplc="8F8C5FE4">
      <w:start w:val="1"/>
      <w:numFmt w:val="decimal"/>
      <w:lvlText w:val="%4"/>
      <w:lvlJc w:val="left"/>
      <w:pPr>
        <w:ind w:left="252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4" w:tplc="22DCAB78">
      <w:start w:val="1"/>
      <w:numFmt w:val="lowerLetter"/>
      <w:lvlText w:val="%5"/>
      <w:lvlJc w:val="left"/>
      <w:pPr>
        <w:ind w:left="324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5" w:tplc="BDDE924E">
      <w:start w:val="1"/>
      <w:numFmt w:val="lowerRoman"/>
      <w:lvlText w:val="%6"/>
      <w:lvlJc w:val="left"/>
      <w:pPr>
        <w:ind w:left="396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6" w:tplc="557E2B1C">
      <w:start w:val="1"/>
      <w:numFmt w:val="decimal"/>
      <w:lvlText w:val="%7"/>
      <w:lvlJc w:val="left"/>
      <w:pPr>
        <w:ind w:left="468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7" w:tplc="3F88B998">
      <w:start w:val="1"/>
      <w:numFmt w:val="lowerLetter"/>
      <w:lvlText w:val="%8"/>
      <w:lvlJc w:val="left"/>
      <w:pPr>
        <w:ind w:left="540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8" w:tplc="82FA2152">
      <w:start w:val="1"/>
      <w:numFmt w:val="lowerRoman"/>
      <w:lvlText w:val="%9"/>
      <w:lvlJc w:val="left"/>
      <w:pPr>
        <w:ind w:left="612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F174A1"/>
    <w:multiLevelType w:val="hybridMultilevel"/>
    <w:tmpl w:val="4A18E0EA"/>
    <w:lvl w:ilvl="0" w:tplc="1416FA92">
      <w:start w:val="1"/>
      <w:numFmt w:val="decimal"/>
      <w:lvlText w:val="%1."/>
      <w:lvlJc w:val="left"/>
      <w:pPr>
        <w:ind w:left="14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7ACA3332">
      <w:start w:val="1"/>
      <w:numFmt w:val="lowerLetter"/>
      <w:lvlText w:val="%2"/>
      <w:lvlJc w:val="left"/>
      <w:pPr>
        <w:ind w:left="21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727A195A">
      <w:start w:val="1"/>
      <w:numFmt w:val="lowerRoman"/>
      <w:lvlText w:val="%3"/>
      <w:lvlJc w:val="left"/>
      <w:pPr>
        <w:ind w:left="28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F050D982">
      <w:start w:val="1"/>
      <w:numFmt w:val="decimal"/>
      <w:lvlText w:val="%4"/>
      <w:lvlJc w:val="left"/>
      <w:pPr>
        <w:ind w:left="36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EB1E84AC">
      <w:start w:val="1"/>
      <w:numFmt w:val="lowerLetter"/>
      <w:lvlText w:val="%5"/>
      <w:lvlJc w:val="left"/>
      <w:pPr>
        <w:ind w:left="4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3E4A245A">
      <w:start w:val="1"/>
      <w:numFmt w:val="lowerRoman"/>
      <w:lvlText w:val="%6"/>
      <w:lvlJc w:val="left"/>
      <w:pPr>
        <w:ind w:left="5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160C10DE">
      <w:start w:val="1"/>
      <w:numFmt w:val="decimal"/>
      <w:lvlText w:val="%7"/>
      <w:lvlJc w:val="left"/>
      <w:pPr>
        <w:ind w:left="5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70E6870A">
      <w:start w:val="1"/>
      <w:numFmt w:val="lowerLetter"/>
      <w:lvlText w:val="%8"/>
      <w:lvlJc w:val="left"/>
      <w:pPr>
        <w:ind w:left="64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18B6409C">
      <w:start w:val="1"/>
      <w:numFmt w:val="lowerRoman"/>
      <w:lvlText w:val="%9"/>
      <w:lvlJc w:val="left"/>
      <w:pPr>
        <w:ind w:left="72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5714F56"/>
    <w:multiLevelType w:val="hybridMultilevel"/>
    <w:tmpl w:val="CF2C76E6"/>
    <w:lvl w:ilvl="0" w:tplc="CD24747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E1EED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AE3B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2722B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F8CCD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622098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CCCC3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4C117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EEA22E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B3B5381"/>
    <w:multiLevelType w:val="hybridMultilevel"/>
    <w:tmpl w:val="6E08A03C"/>
    <w:lvl w:ilvl="0" w:tplc="C0865460">
      <w:start w:val="1"/>
      <w:numFmt w:val="lowerLetter"/>
      <w:lvlText w:val="%1)"/>
      <w:lvlJc w:val="left"/>
      <w:pPr>
        <w:ind w:left="1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674419FA">
      <w:start w:val="1"/>
      <w:numFmt w:val="lowerLetter"/>
      <w:lvlText w:val="%2"/>
      <w:lvlJc w:val="left"/>
      <w:pPr>
        <w:ind w:left="110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E842DF2C">
      <w:start w:val="1"/>
      <w:numFmt w:val="lowerRoman"/>
      <w:lvlText w:val="%3"/>
      <w:lvlJc w:val="left"/>
      <w:pPr>
        <w:ind w:left="182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24B0CE1A">
      <w:start w:val="1"/>
      <w:numFmt w:val="decimal"/>
      <w:lvlText w:val="%4"/>
      <w:lvlJc w:val="left"/>
      <w:pPr>
        <w:ind w:left="254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5EF09CC0">
      <w:start w:val="1"/>
      <w:numFmt w:val="lowerLetter"/>
      <w:lvlText w:val="%5"/>
      <w:lvlJc w:val="left"/>
      <w:pPr>
        <w:ind w:left="326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03D2FFB0">
      <w:start w:val="1"/>
      <w:numFmt w:val="lowerRoman"/>
      <w:lvlText w:val="%6"/>
      <w:lvlJc w:val="left"/>
      <w:pPr>
        <w:ind w:left="398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99A86FFC">
      <w:start w:val="1"/>
      <w:numFmt w:val="decimal"/>
      <w:lvlText w:val="%7"/>
      <w:lvlJc w:val="left"/>
      <w:pPr>
        <w:ind w:left="470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8604A9E8">
      <w:start w:val="1"/>
      <w:numFmt w:val="lowerLetter"/>
      <w:lvlText w:val="%8"/>
      <w:lvlJc w:val="left"/>
      <w:pPr>
        <w:ind w:left="542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AC98BE66">
      <w:start w:val="1"/>
      <w:numFmt w:val="lowerRoman"/>
      <w:lvlText w:val="%9"/>
      <w:lvlJc w:val="left"/>
      <w:pPr>
        <w:ind w:left="6146"/>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3676EF7"/>
    <w:multiLevelType w:val="hybridMultilevel"/>
    <w:tmpl w:val="FE6AD20E"/>
    <w:lvl w:ilvl="0" w:tplc="041B000F">
      <w:start w:val="1"/>
      <w:numFmt w:val="decimal"/>
      <w:lvlText w:val="%1."/>
      <w:lvlJc w:val="left"/>
      <w:pPr>
        <w:ind w:left="720" w:hanging="360"/>
      </w:pPr>
      <w:rPr>
        <w:rFonts w:hint="default"/>
        <w:sz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A7C160C"/>
    <w:multiLevelType w:val="multilevel"/>
    <w:tmpl w:val="FF60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F672F3"/>
    <w:multiLevelType w:val="hybridMultilevel"/>
    <w:tmpl w:val="2C8433E4"/>
    <w:lvl w:ilvl="0" w:tplc="11924E54">
      <w:start w:val="3"/>
      <w:numFmt w:val="decimal"/>
      <w:lvlText w:val="%1."/>
      <w:lvlJc w:val="left"/>
      <w:pPr>
        <w:ind w:left="1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1" w:tplc="456A6D48">
      <w:start w:val="1"/>
      <w:numFmt w:val="lowerLetter"/>
      <w:lvlText w:val="%2"/>
      <w:lvlJc w:val="left"/>
      <w:pPr>
        <w:ind w:left="108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2" w:tplc="DCF2B42A">
      <w:start w:val="1"/>
      <w:numFmt w:val="lowerRoman"/>
      <w:lvlText w:val="%3"/>
      <w:lvlJc w:val="left"/>
      <w:pPr>
        <w:ind w:left="180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3" w:tplc="2EBA1EA4">
      <w:start w:val="1"/>
      <w:numFmt w:val="decimal"/>
      <w:lvlText w:val="%4"/>
      <w:lvlJc w:val="left"/>
      <w:pPr>
        <w:ind w:left="252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4" w:tplc="E368C96E">
      <w:start w:val="1"/>
      <w:numFmt w:val="lowerLetter"/>
      <w:lvlText w:val="%5"/>
      <w:lvlJc w:val="left"/>
      <w:pPr>
        <w:ind w:left="324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5" w:tplc="18943EA6">
      <w:start w:val="1"/>
      <w:numFmt w:val="lowerRoman"/>
      <w:lvlText w:val="%6"/>
      <w:lvlJc w:val="left"/>
      <w:pPr>
        <w:ind w:left="396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6" w:tplc="E5CEB598">
      <w:start w:val="1"/>
      <w:numFmt w:val="decimal"/>
      <w:lvlText w:val="%7"/>
      <w:lvlJc w:val="left"/>
      <w:pPr>
        <w:ind w:left="468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7" w:tplc="14A2CA3E">
      <w:start w:val="1"/>
      <w:numFmt w:val="lowerLetter"/>
      <w:lvlText w:val="%8"/>
      <w:lvlJc w:val="left"/>
      <w:pPr>
        <w:ind w:left="540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lvl w:ilvl="8" w:tplc="379827BA">
      <w:start w:val="1"/>
      <w:numFmt w:val="lowerRoman"/>
      <w:lvlText w:val="%9"/>
      <w:lvlJc w:val="left"/>
      <w:pPr>
        <w:ind w:left="6120"/>
      </w:pPr>
      <w:rPr>
        <w:rFonts w:ascii="Cambria" w:eastAsia="Cambria" w:hAnsi="Cambria" w:cs="Cambria"/>
        <w:b w:val="0"/>
        <w:i/>
        <w:iCs/>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2"/>
  </w:num>
  <w:num w:numId="3">
    <w:abstractNumId w:val="8"/>
  </w:num>
  <w:num w:numId="4">
    <w:abstractNumId w:val="5"/>
  </w:num>
  <w:num w:numId="5">
    <w:abstractNumId w:val="3"/>
  </w:num>
  <w:num w:numId="6">
    <w:abstractNumId w:val="6"/>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63"/>
    <w:rsid w:val="00002F51"/>
    <w:rsid w:val="00031463"/>
    <w:rsid w:val="00063F21"/>
    <w:rsid w:val="000C5283"/>
    <w:rsid w:val="000D1AE0"/>
    <w:rsid w:val="000F3925"/>
    <w:rsid w:val="00151707"/>
    <w:rsid w:val="00230A11"/>
    <w:rsid w:val="00283699"/>
    <w:rsid w:val="003B28AF"/>
    <w:rsid w:val="00420108"/>
    <w:rsid w:val="00485B15"/>
    <w:rsid w:val="004B366E"/>
    <w:rsid w:val="0056001D"/>
    <w:rsid w:val="006F244B"/>
    <w:rsid w:val="007918A3"/>
    <w:rsid w:val="007C55A4"/>
    <w:rsid w:val="007D697E"/>
    <w:rsid w:val="0084394C"/>
    <w:rsid w:val="00974BDB"/>
    <w:rsid w:val="00985656"/>
    <w:rsid w:val="00A17E34"/>
    <w:rsid w:val="00B11274"/>
    <w:rsid w:val="00D216C9"/>
    <w:rsid w:val="00D757A3"/>
    <w:rsid w:val="00EF037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B1A09"/>
  <w15:docId w15:val="{BDFC7A4B-5A21-44A2-B7AB-C13A723B7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k-SK" w:eastAsia="sk-SK"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D1AE0"/>
    <w:pPr>
      <w:spacing w:line="357" w:lineRule="auto"/>
      <w:ind w:left="10" w:right="8" w:hanging="10"/>
      <w:jc w:val="both"/>
    </w:pPr>
    <w:rPr>
      <w:rFonts w:ascii="Cambria" w:eastAsia="Cambria" w:hAnsi="Cambria" w:cs="Cambria"/>
      <w:color w:val="000000"/>
    </w:rPr>
  </w:style>
  <w:style w:type="paragraph" w:styleId="Nadpis1">
    <w:name w:val="heading 1"/>
    <w:next w:val="Normlny"/>
    <w:link w:val="Nadpis1Char"/>
    <w:uiPriority w:val="9"/>
    <w:qFormat/>
    <w:rsid w:val="000D1AE0"/>
    <w:pPr>
      <w:keepNext/>
      <w:keepLines/>
      <w:pBdr>
        <w:top w:val="single" w:sz="4" w:space="0" w:color="000000"/>
        <w:left w:val="single" w:sz="4" w:space="0" w:color="000000"/>
        <w:bottom w:val="single" w:sz="4" w:space="0" w:color="000000"/>
        <w:right w:val="single" w:sz="4" w:space="0" w:color="000000"/>
      </w:pBdr>
      <w:spacing w:after="0" w:line="259" w:lineRule="auto"/>
      <w:ind w:right="1477"/>
      <w:jc w:val="right"/>
      <w:outlineLvl w:val="0"/>
    </w:pPr>
    <w:rPr>
      <w:rFonts w:ascii="Cambria" w:eastAsia="Cambria" w:hAnsi="Cambria" w:cs="Cambria"/>
      <w:b/>
      <w:color w:val="000000"/>
      <w:sz w:val="36"/>
    </w:rPr>
  </w:style>
  <w:style w:type="paragraph" w:styleId="Nadpis2">
    <w:name w:val="heading 2"/>
    <w:next w:val="Normlny"/>
    <w:link w:val="Nadpis2Char"/>
    <w:uiPriority w:val="9"/>
    <w:unhideWhenUsed/>
    <w:qFormat/>
    <w:rsid w:val="000D1AE0"/>
    <w:pPr>
      <w:keepNext/>
      <w:keepLines/>
      <w:spacing w:after="116" w:line="259" w:lineRule="auto"/>
      <w:ind w:left="10" w:right="6" w:hanging="10"/>
      <w:jc w:val="center"/>
      <w:outlineLvl w:val="1"/>
    </w:pPr>
    <w:rPr>
      <w:rFonts w:ascii="Cambria" w:eastAsia="Cambria" w:hAnsi="Cambria" w:cs="Cambria"/>
      <w:b/>
      <w:color w:val="000000"/>
    </w:rPr>
  </w:style>
  <w:style w:type="paragraph" w:styleId="Nadpis3">
    <w:name w:val="heading 3"/>
    <w:next w:val="Normlny"/>
    <w:link w:val="Nadpis3Char"/>
    <w:uiPriority w:val="9"/>
    <w:unhideWhenUsed/>
    <w:qFormat/>
    <w:rsid w:val="000D1AE0"/>
    <w:pPr>
      <w:keepNext/>
      <w:keepLines/>
      <w:spacing w:after="277" w:line="259" w:lineRule="auto"/>
      <w:ind w:left="10" w:right="1" w:hanging="10"/>
      <w:jc w:val="center"/>
      <w:outlineLvl w:val="2"/>
    </w:pPr>
    <w:rPr>
      <w:rFonts w:ascii="Cambria" w:eastAsia="Cambria" w:hAnsi="Cambria" w:cs="Cambria"/>
      <w:b/>
      <w:i/>
      <w:color w:val="000000"/>
    </w:rPr>
  </w:style>
  <w:style w:type="paragraph" w:styleId="Nadpis4">
    <w:name w:val="heading 4"/>
    <w:basedOn w:val="Normlny"/>
    <w:next w:val="Normlny"/>
    <w:link w:val="Nadpis4Char"/>
    <w:uiPriority w:val="9"/>
    <w:semiHidden/>
    <w:unhideWhenUsed/>
    <w:qFormat/>
    <w:rsid w:val="00485B1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link w:val="Nadpis2"/>
    <w:rsid w:val="000D1AE0"/>
    <w:rPr>
      <w:rFonts w:ascii="Cambria" w:eastAsia="Cambria" w:hAnsi="Cambria" w:cs="Cambria"/>
      <w:b/>
      <w:color w:val="000000"/>
      <w:sz w:val="24"/>
    </w:rPr>
  </w:style>
  <w:style w:type="character" w:customStyle="1" w:styleId="Nadpis3Char">
    <w:name w:val="Nadpis 3 Char"/>
    <w:link w:val="Nadpis3"/>
    <w:rsid w:val="000D1AE0"/>
    <w:rPr>
      <w:rFonts w:ascii="Cambria" w:eastAsia="Cambria" w:hAnsi="Cambria" w:cs="Cambria"/>
      <w:b/>
      <w:i/>
      <w:color w:val="000000"/>
      <w:sz w:val="24"/>
    </w:rPr>
  </w:style>
  <w:style w:type="character" w:customStyle="1" w:styleId="Nadpis1Char">
    <w:name w:val="Nadpis 1 Char"/>
    <w:link w:val="Nadpis1"/>
    <w:rsid w:val="000D1AE0"/>
    <w:rPr>
      <w:rFonts w:ascii="Cambria" w:eastAsia="Cambria" w:hAnsi="Cambria" w:cs="Cambria"/>
      <w:b/>
      <w:color w:val="000000"/>
      <w:sz w:val="36"/>
    </w:rPr>
  </w:style>
  <w:style w:type="table" w:customStyle="1" w:styleId="TableGrid">
    <w:name w:val="TableGrid"/>
    <w:rsid w:val="000D1AE0"/>
    <w:pPr>
      <w:spacing w:after="0" w:line="240" w:lineRule="auto"/>
    </w:pPr>
    <w:tblPr>
      <w:tblCellMar>
        <w:top w:w="0" w:type="dxa"/>
        <w:left w:w="0" w:type="dxa"/>
        <w:bottom w:w="0" w:type="dxa"/>
        <w:right w:w="0" w:type="dxa"/>
      </w:tblCellMar>
    </w:tblPr>
  </w:style>
  <w:style w:type="paragraph" w:styleId="Odsekzoznamu">
    <w:name w:val="List Paragraph"/>
    <w:basedOn w:val="Normlny"/>
    <w:uiPriority w:val="34"/>
    <w:qFormat/>
    <w:rsid w:val="007918A3"/>
    <w:pPr>
      <w:ind w:left="720"/>
      <w:contextualSpacing/>
    </w:pPr>
  </w:style>
  <w:style w:type="character" w:customStyle="1" w:styleId="Nadpis4Char">
    <w:name w:val="Nadpis 4 Char"/>
    <w:basedOn w:val="Predvolenpsmoodseku"/>
    <w:link w:val="Nadpis4"/>
    <w:uiPriority w:val="9"/>
    <w:semiHidden/>
    <w:rsid w:val="00485B15"/>
    <w:rPr>
      <w:rFonts w:asciiTheme="majorHAnsi" w:eastAsiaTheme="majorEastAsia" w:hAnsiTheme="majorHAnsi" w:cstheme="majorBidi"/>
      <w:i/>
      <w:iCs/>
      <w:color w:val="0F4761" w:themeColor="accent1" w:themeShade="BF"/>
    </w:rPr>
  </w:style>
  <w:style w:type="paragraph" w:styleId="Normlnywebov">
    <w:name w:val="Normal (Web)"/>
    <w:basedOn w:val="Normlny"/>
    <w:uiPriority w:val="99"/>
    <w:semiHidden/>
    <w:unhideWhenUsed/>
    <w:rsid w:val="002836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7280">
      <w:bodyDiv w:val="1"/>
      <w:marLeft w:val="0"/>
      <w:marRight w:val="0"/>
      <w:marTop w:val="0"/>
      <w:marBottom w:val="0"/>
      <w:divBdr>
        <w:top w:val="none" w:sz="0" w:space="0" w:color="auto"/>
        <w:left w:val="none" w:sz="0" w:space="0" w:color="auto"/>
        <w:bottom w:val="none" w:sz="0" w:space="0" w:color="auto"/>
        <w:right w:val="none" w:sz="0" w:space="0" w:color="auto"/>
      </w:divBdr>
    </w:div>
    <w:div w:id="202988332">
      <w:bodyDiv w:val="1"/>
      <w:marLeft w:val="0"/>
      <w:marRight w:val="0"/>
      <w:marTop w:val="0"/>
      <w:marBottom w:val="0"/>
      <w:divBdr>
        <w:top w:val="none" w:sz="0" w:space="0" w:color="auto"/>
        <w:left w:val="none" w:sz="0" w:space="0" w:color="auto"/>
        <w:bottom w:val="none" w:sz="0" w:space="0" w:color="auto"/>
        <w:right w:val="none" w:sz="0" w:space="0" w:color="auto"/>
      </w:divBdr>
    </w:div>
    <w:div w:id="206141052">
      <w:bodyDiv w:val="1"/>
      <w:marLeft w:val="0"/>
      <w:marRight w:val="0"/>
      <w:marTop w:val="0"/>
      <w:marBottom w:val="0"/>
      <w:divBdr>
        <w:top w:val="none" w:sz="0" w:space="0" w:color="auto"/>
        <w:left w:val="none" w:sz="0" w:space="0" w:color="auto"/>
        <w:bottom w:val="none" w:sz="0" w:space="0" w:color="auto"/>
        <w:right w:val="none" w:sz="0" w:space="0" w:color="auto"/>
      </w:divBdr>
    </w:div>
    <w:div w:id="262498671">
      <w:bodyDiv w:val="1"/>
      <w:marLeft w:val="0"/>
      <w:marRight w:val="0"/>
      <w:marTop w:val="0"/>
      <w:marBottom w:val="0"/>
      <w:divBdr>
        <w:top w:val="none" w:sz="0" w:space="0" w:color="auto"/>
        <w:left w:val="none" w:sz="0" w:space="0" w:color="auto"/>
        <w:bottom w:val="none" w:sz="0" w:space="0" w:color="auto"/>
        <w:right w:val="none" w:sz="0" w:space="0" w:color="auto"/>
      </w:divBdr>
    </w:div>
    <w:div w:id="576552911">
      <w:bodyDiv w:val="1"/>
      <w:marLeft w:val="0"/>
      <w:marRight w:val="0"/>
      <w:marTop w:val="0"/>
      <w:marBottom w:val="0"/>
      <w:divBdr>
        <w:top w:val="none" w:sz="0" w:space="0" w:color="auto"/>
        <w:left w:val="none" w:sz="0" w:space="0" w:color="auto"/>
        <w:bottom w:val="none" w:sz="0" w:space="0" w:color="auto"/>
        <w:right w:val="none" w:sz="0" w:space="0" w:color="auto"/>
      </w:divBdr>
    </w:div>
    <w:div w:id="659626198">
      <w:bodyDiv w:val="1"/>
      <w:marLeft w:val="0"/>
      <w:marRight w:val="0"/>
      <w:marTop w:val="0"/>
      <w:marBottom w:val="0"/>
      <w:divBdr>
        <w:top w:val="none" w:sz="0" w:space="0" w:color="auto"/>
        <w:left w:val="none" w:sz="0" w:space="0" w:color="auto"/>
        <w:bottom w:val="none" w:sz="0" w:space="0" w:color="auto"/>
        <w:right w:val="none" w:sz="0" w:space="0" w:color="auto"/>
      </w:divBdr>
    </w:div>
    <w:div w:id="766922951">
      <w:bodyDiv w:val="1"/>
      <w:marLeft w:val="0"/>
      <w:marRight w:val="0"/>
      <w:marTop w:val="0"/>
      <w:marBottom w:val="0"/>
      <w:divBdr>
        <w:top w:val="none" w:sz="0" w:space="0" w:color="auto"/>
        <w:left w:val="none" w:sz="0" w:space="0" w:color="auto"/>
        <w:bottom w:val="none" w:sz="0" w:space="0" w:color="auto"/>
        <w:right w:val="none" w:sz="0" w:space="0" w:color="auto"/>
      </w:divBdr>
    </w:div>
    <w:div w:id="785387321">
      <w:bodyDiv w:val="1"/>
      <w:marLeft w:val="0"/>
      <w:marRight w:val="0"/>
      <w:marTop w:val="0"/>
      <w:marBottom w:val="0"/>
      <w:divBdr>
        <w:top w:val="none" w:sz="0" w:space="0" w:color="auto"/>
        <w:left w:val="none" w:sz="0" w:space="0" w:color="auto"/>
        <w:bottom w:val="none" w:sz="0" w:space="0" w:color="auto"/>
        <w:right w:val="none" w:sz="0" w:space="0" w:color="auto"/>
      </w:divBdr>
    </w:div>
    <w:div w:id="1010835100">
      <w:bodyDiv w:val="1"/>
      <w:marLeft w:val="0"/>
      <w:marRight w:val="0"/>
      <w:marTop w:val="0"/>
      <w:marBottom w:val="0"/>
      <w:divBdr>
        <w:top w:val="none" w:sz="0" w:space="0" w:color="auto"/>
        <w:left w:val="none" w:sz="0" w:space="0" w:color="auto"/>
        <w:bottom w:val="none" w:sz="0" w:space="0" w:color="auto"/>
        <w:right w:val="none" w:sz="0" w:space="0" w:color="auto"/>
      </w:divBdr>
    </w:div>
    <w:div w:id="1057165662">
      <w:bodyDiv w:val="1"/>
      <w:marLeft w:val="0"/>
      <w:marRight w:val="0"/>
      <w:marTop w:val="0"/>
      <w:marBottom w:val="0"/>
      <w:divBdr>
        <w:top w:val="none" w:sz="0" w:space="0" w:color="auto"/>
        <w:left w:val="none" w:sz="0" w:space="0" w:color="auto"/>
        <w:bottom w:val="none" w:sz="0" w:space="0" w:color="auto"/>
        <w:right w:val="none" w:sz="0" w:space="0" w:color="auto"/>
      </w:divBdr>
    </w:div>
    <w:div w:id="1412774084">
      <w:bodyDiv w:val="1"/>
      <w:marLeft w:val="0"/>
      <w:marRight w:val="0"/>
      <w:marTop w:val="0"/>
      <w:marBottom w:val="0"/>
      <w:divBdr>
        <w:top w:val="none" w:sz="0" w:space="0" w:color="auto"/>
        <w:left w:val="none" w:sz="0" w:space="0" w:color="auto"/>
        <w:bottom w:val="none" w:sz="0" w:space="0" w:color="auto"/>
        <w:right w:val="none" w:sz="0" w:space="0" w:color="auto"/>
      </w:divBdr>
    </w:div>
    <w:div w:id="1443181680">
      <w:bodyDiv w:val="1"/>
      <w:marLeft w:val="0"/>
      <w:marRight w:val="0"/>
      <w:marTop w:val="0"/>
      <w:marBottom w:val="0"/>
      <w:divBdr>
        <w:top w:val="none" w:sz="0" w:space="0" w:color="auto"/>
        <w:left w:val="none" w:sz="0" w:space="0" w:color="auto"/>
        <w:bottom w:val="none" w:sz="0" w:space="0" w:color="auto"/>
        <w:right w:val="none" w:sz="0" w:space="0" w:color="auto"/>
      </w:divBdr>
    </w:div>
    <w:div w:id="1570920548">
      <w:bodyDiv w:val="1"/>
      <w:marLeft w:val="0"/>
      <w:marRight w:val="0"/>
      <w:marTop w:val="0"/>
      <w:marBottom w:val="0"/>
      <w:divBdr>
        <w:top w:val="none" w:sz="0" w:space="0" w:color="auto"/>
        <w:left w:val="none" w:sz="0" w:space="0" w:color="auto"/>
        <w:bottom w:val="none" w:sz="0" w:space="0" w:color="auto"/>
        <w:right w:val="none" w:sz="0" w:space="0" w:color="auto"/>
      </w:divBdr>
    </w:div>
    <w:div w:id="1825120626">
      <w:bodyDiv w:val="1"/>
      <w:marLeft w:val="0"/>
      <w:marRight w:val="0"/>
      <w:marTop w:val="0"/>
      <w:marBottom w:val="0"/>
      <w:divBdr>
        <w:top w:val="none" w:sz="0" w:space="0" w:color="auto"/>
        <w:left w:val="none" w:sz="0" w:space="0" w:color="auto"/>
        <w:bottom w:val="none" w:sz="0" w:space="0" w:color="auto"/>
        <w:right w:val="none" w:sz="0" w:space="0" w:color="auto"/>
      </w:divBdr>
    </w:div>
    <w:div w:id="1920826956">
      <w:bodyDiv w:val="1"/>
      <w:marLeft w:val="0"/>
      <w:marRight w:val="0"/>
      <w:marTop w:val="0"/>
      <w:marBottom w:val="0"/>
      <w:divBdr>
        <w:top w:val="none" w:sz="0" w:space="0" w:color="auto"/>
        <w:left w:val="none" w:sz="0" w:space="0" w:color="auto"/>
        <w:bottom w:val="none" w:sz="0" w:space="0" w:color="auto"/>
        <w:right w:val="none" w:sz="0" w:space="0" w:color="auto"/>
      </w:divBdr>
    </w:div>
    <w:div w:id="1921594156">
      <w:bodyDiv w:val="1"/>
      <w:marLeft w:val="0"/>
      <w:marRight w:val="0"/>
      <w:marTop w:val="0"/>
      <w:marBottom w:val="0"/>
      <w:divBdr>
        <w:top w:val="none" w:sz="0" w:space="0" w:color="auto"/>
        <w:left w:val="none" w:sz="0" w:space="0" w:color="auto"/>
        <w:bottom w:val="none" w:sz="0" w:space="0" w:color="auto"/>
        <w:right w:val="none" w:sz="0" w:space="0" w:color="auto"/>
      </w:divBdr>
    </w:div>
    <w:div w:id="2048135555">
      <w:bodyDiv w:val="1"/>
      <w:marLeft w:val="0"/>
      <w:marRight w:val="0"/>
      <w:marTop w:val="0"/>
      <w:marBottom w:val="0"/>
      <w:divBdr>
        <w:top w:val="none" w:sz="0" w:space="0" w:color="auto"/>
        <w:left w:val="none" w:sz="0" w:space="0" w:color="auto"/>
        <w:bottom w:val="none" w:sz="0" w:space="0" w:color="auto"/>
        <w:right w:val="none" w:sz="0" w:space="0" w:color="auto"/>
      </w:divBdr>
    </w:div>
    <w:div w:id="2052800463">
      <w:bodyDiv w:val="1"/>
      <w:marLeft w:val="0"/>
      <w:marRight w:val="0"/>
      <w:marTop w:val="0"/>
      <w:marBottom w:val="0"/>
      <w:divBdr>
        <w:top w:val="none" w:sz="0" w:space="0" w:color="auto"/>
        <w:left w:val="none" w:sz="0" w:space="0" w:color="auto"/>
        <w:bottom w:val="none" w:sz="0" w:space="0" w:color="auto"/>
        <w:right w:val="none" w:sz="0" w:space="0" w:color="auto"/>
      </w:divBdr>
    </w:div>
    <w:div w:id="2121871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2299</Words>
  <Characters>13109</Characters>
  <Application>Microsoft Office Word</Application>
  <DocSecurity>0</DocSecurity>
  <Lines>109</Lines>
  <Paragraphs>30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Základná Škola</cp:lastModifiedBy>
  <cp:revision>2</cp:revision>
  <dcterms:created xsi:type="dcterms:W3CDTF">2026-05-15T09:15:00Z</dcterms:created>
  <dcterms:modified xsi:type="dcterms:W3CDTF">2026-05-15T09:15:00Z</dcterms:modified>
</cp:coreProperties>
</file>